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settings.xml" ContentType="application/vnd.openxmlformats-officedocument.wordprocessingml.settings+xml"/>
  <Override PartName="/word/header3.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57" w:after="57"/>
        <w:jc w:val="center"/>
        <w:rPr/>
      </w:pPr>
      <w:r>
        <w:rPr>
          <w:rStyle w:val="Teletype"/>
          <w:rFonts w:ascii="Calibri:onum=1" w:hAnsi="Calibri:onum=1"/>
          <w:b/>
          <w:bCs/>
          <w:color w:val="000000"/>
          <w:lang w:eastAsia="en-US"/>
        </w:rPr>
        <w:t xml:space="preserve">ΑΝΑΚΟΙΝΩΣΗ ΚΕΝΤΡΙΚΟΥ ΣΥΜΒΟΥΛΙΟΥ </w:t>
        <w:br/>
        <w:t>ΣΥΛΛΟΓΟΥ ΔΕΠ ΠΑΝΕΠΙΣΤΗΜΙΟΥ ΑΙΓΑΙΟΥ</w:t>
      </w:r>
    </w:p>
    <w:p>
      <w:pPr>
        <w:pStyle w:val="Normal"/>
        <w:spacing w:before="57" w:after="57"/>
        <w:jc w:val="center"/>
        <w:rPr>
          <w:rStyle w:val="Teletype"/>
          <w:rFonts w:ascii="Calibri:onum=1" w:hAnsi="Calibri:onum=1"/>
          <w:b/>
          <w:bCs/>
          <w:color w:val="000000"/>
          <w:lang w:eastAsia="en-US"/>
        </w:rPr>
      </w:pPr>
      <w:r>
        <w:rPr>
          <w:rFonts w:ascii="Calibri:onum=1" w:hAnsi="Calibri:onum=1"/>
          <w:b/>
          <w:bCs/>
          <w:color w:val="000000"/>
          <w:lang w:eastAsia="en-US"/>
        </w:rPr>
      </w:r>
    </w:p>
    <w:p>
      <w:pPr>
        <w:pStyle w:val="Normal"/>
        <w:jc w:val="center"/>
        <w:rPr>
          <w:rFonts w:cs="Arial" w:cstheme="minorHAnsi"/>
          <w:b/>
          <w:bCs/>
          <w:sz w:val="22"/>
          <w:szCs w:val="22"/>
        </w:rPr>
      </w:pPr>
      <w:r>
        <w:rPr>
          <w:rFonts w:cs="Arial" w:ascii="Calibri:onum=1" w:hAnsi="Calibri:onum=1" w:cstheme="minorHAnsi"/>
          <w:b/>
          <w:bCs/>
          <w:i/>
          <w:iCs/>
          <w:color w:val="333333"/>
          <w:sz w:val="22"/>
          <w:szCs w:val="22"/>
        </w:rPr>
        <w:t>Για την ιμπεριαλιστική επέμβαση ΗΠΑ και Ισραήλ κατά του Ιράν!</w:t>
      </w:r>
    </w:p>
    <w:p>
      <w:pPr>
        <w:pStyle w:val="Normal"/>
        <w:spacing w:before="57" w:after="57"/>
        <w:jc w:val="end"/>
        <w:rPr>
          <w:rFonts w:ascii="Calibri:onum=1" w:hAnsi="Calibri:onum=1"/>
          <w:i/>
          <w:i/>
          <w:iCs/>
          <w:color w:val="333333"/>
          <w:sz w:val="22"/>
          <w:szCs w:val="22"/>
        </w:rPr>
      </w:pPr>
      <w:r>
        <w:rPr>
          <w:rFonts w:ascii="Calibri:onum=1" w:hAnsi="Calibri:onum=1"/>
          <w:i/>
          <w:iCs/>
          <w:color w:val="333333"/>
          <w:sz w:val="22"/>
          <w:szCs w:val="22"/>
        </w:rPr>
        <w:t>01 Απριλίου 2026</w:t>
      </w:r>
    </w:p>
    <w:p>
      <w:pPr>
        <w:pStyle w:val="Normal"/>
        <w:jc w:val="both"/>
        <w:rPr>
          <w:rFonts w:ascii="Calibri:onum=1" w:hAnsi="Calibri:onum=1" w:cs="Arial" w:cstheme="minorHAnsi"/>
          <w:color w:val="000000"/>
          <w:sz w:val="22"/>
          <w:szCs w:val="22"/>
        </w:rPr>
      </w:pPr>
      <w:r>
        <w:rPr>
          <w:rFonts w:cs="Arial" w:cstheme="minorHAnsi" w:ascii="Calibri:onum=1" w:hAnsi="Calibri:onum=1"/>
          <w:color w:val="000000"/>
          <w:sz w:val="22"/>
          <w:szCs w:val="22"/>
        </w:rPr>
      </w:r>
    </w:p>
    <w:p>
      <w:pPr>
        <w:pStyle w:val="BodyText"/>
        <w:spacing w:lineRule="auto" w:line="240" w:before="0" w:after="0"/>
        <w:jc w:val="both"/>
        <w:rPr>
          <w:rFonts w:ascii="Calibri:onum=1" w:hAnsi="Calibri:onum=1"/>
          <w:color w:val="000000"/>
        </w:rPr>
      </w:pPr>
      <w:r>
        <w:rPr>
          <w:rFonts w:ascii="Calibri:onum=1" w:hAnsi="Calibri:onum=1"/>
          <w:color w:val="000000"/>
          <w:sz w:val="22"/>
          <w:szCs w:val="22"/>
        </w:rPr>
        <w:t>Η ιμπεριαλιστική επέμβαση των Η</w:t>
      </w:r>
      <w:r>
        <w:rPr>
          <w:rFonts w:cs="Arial" w:ascii="Calibri:onum=1" w:hAnsi="Calibri:onum=1" w:cstheme="minorHAnsi"/>
          <w:color w:val="000000"/>
          <w:sz w:val="22"/>
          <w:szCs w:val="22"/>
        </w:rPr>
        <w:t>νωμένων Πολιτειών και του Ισραήλ κατά του Ιράν</w:t>
      </w:r>
      <w:r>
        <w:rPr>
          <w:rFonts w:ascii="Calibri:onum=1" w:hAnsi="Calibri:onum=1"/>
          <w:color w:val="000000"/>
          <w:sz w:val="22"/>
          <w:szCs w:val="22"/>
        </w:rPr>
        <w:t xml:space="preserve"> φέρνει πιο κοντά την προοπτική ενός γενικευμένου πολέμου, του μεγαλύτερου μετά τον Β’ΠΠ. Τα σαθρά προσχήματα για «εκδημοκρατισμό» και τα «πυρηνικά του Ιράν» έχουν καταρρεύσει από τις πρώτες ώρες της επίθεσης. Οι ΗΠΑ προωθούν τα σχέδια τους για τη «νέα Μέση Ανατολή» για τον έλεγχο αγορών, ενεργειακών πηγών, δρόμων μεταφοράς και πρώτων υλών. </w:t>
      </w:r>
    </w:p>
    <w:p>
      <w:pPr>
        <w:pStyle w:val="Normal"/>
        <w:jc w:val="both"/>
        <w:rPr>
          <w:rFonts w:ascii="Calibri:onum=1" w:hAnsi="Calibri:onum=1" w:cs="Arial" w:cstheme="minorHAnsi"/>
          <w:color w:val="000000"/>
          <w:sz w:val="22"/>
          <w:szCs w:val="22"/>
        </w:rPr>
      </w:pPr>
      <w:r>
        <w:rPr>
          <w:rFonts w:cs="Arial" w:cstheme="minorHAnsi" w:ascii="Calibri:onum=1" w:hAnsi="Calibri:onum=1"/>
          <w:color w:val="000000"/>
          <w:sz w:val="22"/>
          <w:szCs w:val="22"/>
        </w:rPr>
      </w:r>
    </w:p>
    <w:p>
      <w:pPr>
        <w:pStyle w:val="Normal"/>
        <w:jc w:val="both"/>
        <w:rPr>
          <w:rFonts w:ascii="Calibri:onum=1" w:hAnsi="Calibri:onum=1"/>
          <w:color w:val="000000"/>
        </w:rPr>
      </w:pPr>
      <w:r>
        <w:rPr>
          <w:rFonts w:cs="Arial" w:ascii="Calibri:onum=1" w:hAnsi="Calibri:onum=1" w:cstheme="minorHAnsi"/>
          <w:color w:val="000000"/>
          <w:sz w:val="22"/>
          <w:szCs w:val="22"/>
        </w:rPr>
        <w:t>Η επίθεση ενώ είχαν αρχίσει επίσημες διαπραγματεύσεις μεταξύ των δύο μερών, καταπατά κάθε διεθνή κανόνα. Πρόσφατα, ένα δημοτικό σχολείο στο Ιράν και η Σχολή Θετικών Επιστημών του Κρατικού Πανεπιστημίου του Λιβάνου έγιναν στόχοι επιθέσεων με νεκρούς τουλάχιστον εκατό παιδιά και δύο καθηγητές Πανεπιστημίου. Δεκάδες νεκροί άμαχοι καταγράφονται καθημερινά από πυραυλικές επιθέσεις και από επιθέσεις χερσαίων δυνάμεων στο Ιράν, στο Ισραήλ, στη Γάζα, στον Λίβανο και αλλού. Πρόκειται για κατάφωρες παραβιάσεις του Χάρτη των Ηνωμένων Εθνών και καταπάτηση του σεβασμού της εθνικής κυριαρχίας, της νομικής ισότητας των κρατών, της αυτοδιάθεσης των λαών και της απαγόρευσης της χρήσης βίας κατά της εδαφικής ακεραιότητας ή της πολιτικής κυριαρχίας οποιουδήποτε κράτους.</w:t>
      </w:r>
    </w:p>
    <w:p>
      <w:pPr>
        <w:pStyle w:val="Normal"/>
        <w:jc w:val="both"/>
        <w:rPr>
          <w:rFonts w:ascii="Calibri:onum=1" w:hAnsi="Calibri:onum=1" w:cs="Arial" w:cstheme="minorHAnsi"/>
          <w:color w:val="000000"/>
          <w:sz w:val="22"/>
          <w:szCs w:val="22"/>
        </w:rPr>
      </w:pPr>
      <w:r>
        <w:rPr>
          <w:rFonts w:cs="Arial" w:cstheme="minorHAnsi" w:ascii="Calibri:onum=1" w:hAnsi="Calibri:onum=1"/>
          <w:color w:val="000000"/>
          <w:sz w:val="22"/>
          <w:szCs w:val="22"/>
        </w:rPr>
      </w:r>
    </w:p>
    <w:p>
      <w:pPr>
        <w:pStyle w:val="BodyText"/>
        <w:spacing w:lineRule="auto" w:line="240" w:before="0" w:after="0"/>
        <w:jc w:val="both"/>
        <w:rPr>
          <w:rFonts w:ascii="Calibri:onum=1" w:hAnsi="Calibri:onum=1"/>
          <w:color w:val="000000"/>
        </w:rPr>
      </w:pPr>
      <w:r>
        <w:rPr>
          <w:rFonts w:cs="Arial" w:ascii="Calibri:onum=1" w:hAnsi="Calibri:onum=1" w:cstheme="minorHAnsi"/>
          <w:color w:val="000000"/>
          <w:sz w:val="22"/>
          <w:szCs w:val="22"/>
        </w:rPr>
        <w:t>Η Ελλάδα, με ευθύνη της κυβέρνησης της ΝΔ εμπλέκεται ενεργά στον πόλεμο. Μέσω των αμερικανικών στρατιωτικών βάσεων, η χώρα μετατρέπεται σε ορμητήριο πολέμου και ο λαός μας γίνεται στόχος αντιποίνων.</w:t>
      </w:r>
      <w:r>
        <w:rPr>
          <w:rFonts w:cs="Calibri" w:ascii="Calibri:onum=1" w:hAnsi="Calibri:onum=1"/>
          <w:color w:val="000000"/>
          <w:sz w:val="22"/>
          <w:szCs w:val="22"/>
        </w:rPr>
        <w:t xml:space="preserve"> Η δε εμπλοκή της χώρας μας γίνεται πιο ενεργή με την χρήση των ελληνικών </w:t>
      </w:r>
      <w:r>
        <w:rPr>
          <w:rFonts w:cs="Calibri" w:ascii="Calibri:onum=1" w:hAnsi="Calibri:onum=1"/>
          <w:color w:val="000000"/>
          <w:sz w:val="22"/>
          <w:szCs w:val="22"/>
          <w:lang w:val="en-US"/>
        </w:rPr>
        <w:t>Patriot</w:t>
      </w:r>
      <w:r>
        <w:rPr>
          <w:rFonts w:cs="Calibri" w:ascii="Calibri:onum=1" w:hAnsi="Calibri:onum=1"/>
          <w:color w:val="000000"/>
          <w:sz w:val="22"/>
          <w:szCs w:val="22"/>
        </w:rPr>
        <w:t xml:space="preserve"> στη Σ. Αραβία για την κατάρριψη ιρανικών πυραύλων που στόχευαν διυλιστήρια. Τώρα είναι η ώρα της δράσης, με βασικό αίτημα να βγει η Ελλάδα από τον πόλεμο. Την ίδια στιγμ</w:t>
      </w:r>
      <w:r>
        <w:rPr>
          <w:rFonts w:cs="Arial" w:ascii="Calibri:onum=1" w:hAnsi="Calibri:onum=1" w:cstheme="minorHAnsi"/>
          <w:color w:val="000000"/>
          <w:sz w:val="22"/>
          <w:szCs w:val="22"/>
        </w:rPr>
        <w:t>ή, κυβέρνηση και διοικήσεις πανεπιστημίων επιχειρούν να θέσουν τα πανεπιστήμια στην υπηρεσία πολεμικών σχεδίων. Είμαστε ενάντια σε κάθε συνεργασία των Πανεπιστημίων μας με το ΝΑΤΟ ή άλλους στρατιωτικούς οργανισμούς. </w:t>
      </w:r>
    </w:p>
    <w:p>
      <w:pPr>
        <w:pStyle w:val="Normal"/>
        <w:jc w:val="both"/>
        <w:rPr>
          <w:rFonts w:ascii="Calibri:onum=1" w:hAnsi="Calibri:onum=1" w:cs="Arial" w:cstheme="minorHAnsi"/>
          <w:color w:val="000000"/>
          <w:sz w:val="22"/>
          <w:szCs w:val="22"/>
        </w:rPr>
      </w:pPr>
      <w:r>
        <w:rPr>
          <w:rFonts w:cs="Arial" w:cstheme="minorHAnsi" w:ascii="Calibri:onum=1" w:hAnsi="Calibri:onum=1"/>
          <w:color w:val="000000"/>
          <w:sz w:val="22"/>
          <w:szCs w:val="22"/>
        </w:rPr>
      </w:r>
    </w:p>
    <w:p>
      <w:pPr>
        <w:pStyle w:val="Normal"/>
        <w:jc w:val="both"/>
        <w:rPr>
          <w:rFonts w:ascii="Calibri:onum=1" w:hAnsi="Calibri:onum=1"/>
          <w:color w:val="000000"/>
        </w:rPr>
      </w:pPr>
      <w:r>
        <w:rPr>
          <w:rFonts w:cs="Arial" w:ascii="Calibri:onum=1" w:hAnsi="Calibri:onum=1" w:cstheme="minorHAnsi"/>
          <w:color w:val="000000"/>
          <w:sz w:val="22"/>
          <w:szCs w:val="22"/>
        </w:rPr>
        <w:t>Ως Σύλλογος ΔΕ</w:t>
      </w:r>
      <w:r>
        <w:rPr>
          <w:rFonts w:cs="Calibri" w:ascii="Calibri:onum=1" w:hAnsi="Calibri:onum=1"/>
          <w:color w:val="000000"/>
          <w:sz w:val="22"/>
          <w:szCs w:val="22"/>
        </w:rPr>
        <w:t>Π του Πανεπιστημίου Αιγαίου καταδικάζουμε απερίφραστα τον πόλεμο που ξεκίνησε ΗΠΑ-Ισραήλ σε μια ανεξάρτητη χώρα και μαζί με άλλους συλλόγους και σωματεία εργαζόμενων στην Ελλάδα ζητάμε την άμεση απεμπλοκή της χώρας μας από τον πόλεμο. Συμμετέχουμε σε εκδηλώσεις και κινητοποιήσεις ενάντια στον πόλεμο και την εμπλοκή της χώρας και των πανεπιστημίων μας σ’ αυτόν, διεκδικώντας:</w:t>
      </w:r>
    </w:p>
    <w:p>
      <w:pPr>
        <w:pStyle w:val="Normal"/>
        <w:jc w:val="both"/>
        <w:rPr>
          <w:rFonts w:ascii="Calibri:onum=1" w:hAnsi="Calibri:onum=1" w:cs="Calibri"/>
          <w:color w:val="000000"/>
          <w:sz w:val="22"/>
          <w:szCs w:val="22"/>
        </w:rPr>
      </w:pPr>
      <w:r>
        <w:rPr>
          <w:rFonts w:cs="Calibri" w:ascii="Calibri:onum=1" w:hAnsi="Calibri:onum=1"/>
          <w:color w:val="000000"/>
          <w:sz w:val="22"/>
          <w:szCs w:val="22"/>
        </w:rPr>
      </w:r>
    </w:p>
    <w:p>
      <w:pPr>
        <w:pStyle w:val="Normal"/>
        <w:numPr>
          <w:ilvl w:val="0"/>
          <w:numId w:val="1"/>
        </w:numPr>
        <w:suppressAutoHyphens w:val="false"/>
        <w:spacing w:lineRule="auto" w:line="240" w:before="0" w:after="0"/>
        <w:jc w:val="both"/>
        <w:rPr/>
      </w:pPr>
      <w:r>
        <w:rPr>
          <w:rFonts w:cs="Calibri" w:ascii="Calibri:onum=1" w:hAnsi="Calibri:onum=1"/>
          <w:color w:val="000000"/>
          <w:sz w:val="22"/>
          <w:szCs w:val="22"/>
        </w:rPr>
        <w:t xml:space="preserve">Να κλείσουν οι Αμερικανο-ΝΑΤΟϊκές βάσεις </w:t>
      </w:r>
    </w:p>
    <w:p>
      <w:pPr>
        <w:pStyle w:val="Normal"/>
        <w:numPr>
          <w:ilvl w:val="0"/>
          <w:numId w:val="1"/>
        </w:numPr>
        <w:suppressAutoHyphens w:val="false"/>
        <w:spacing w:lineRule="auto" w:line="240" w:before="0" w:after="0"/>
        <w:jc w:val="both"/>
        <w:rPr/>
      </w:pPr>
      <w:r>
        <w:rPr>
          <w:rFonts w:cs="Calibri" w:ascii="Calibri:onum=1" w:hAnsi="Calibri:onum=1"/>
          <w:color w:val="000000"/>
          <w:sz w:val="22"/>
          <w:szCs w:val="22"/>
        </w:rPr>
        <w:t>Να επιστρέψουν όλες οι στρατιωτικές αποστολές που βρίσκονται εκτός συνόρων.</w:t>
      </w:r>
    </w:p>
    <w:p>
      <w:pPr>
        <w:pStyle w:val="Normal"/>
        <w:numPr>
          <w:ilvl w:val="0"/>
          <w:numId w:val="1"/>
        </w:numPr>
        <w:suppressAutoHyphens w:val="false"/>
        <w:spacing w:lineRule="auto" w:line="240" w:before="0" w:after="0"/>
        <w:jc w:val="both"/>
        <w:rPr/>
      </w:pPr>
      <w:r>
        <w:rPr>
          <w:rFonts w:cs="Calibri" w:ascii="Calibri:onum=1" w:hAnsi="Calibri:onum=1"/>
          <w:color w:val="000000"/>
          <w:sz w:val="22"/>
          <w:szCs w:val="22"/>
        </w:rPr>
        <w:t>Να διακοπεί κάθε συνεργασία των Πανεπιστημίων μας με το ΝΑΤΟ, άλλους στρατιωτικούς οργανισμούς και με το Ισραήλ. Να μην χρησιμοποιούνται τα ερευνητικά αποτελέσματα για πολεμικούς σκοπούς.</w:t>
      </w:r>
    </w:p>
    <w:p>
      <w:pPr>
        <w:pStyle w:val="ListParagraph"/>
        <w:numPr>
          <w:ilvl w:val="0"/>
          <w:numId w:val="1"/>
        </w:numPr>
        <w:suppressAutoHyphens w:val="false"/>
        <w:spacing w:lineRule="auto" w:line="240" w:before="0" w:after="0"/>
        <w:contextualSpacing w:val="false"/>
        <w:jc w:val="both"/>
        <w:rPr/>
      </w:pPr>
      <w:r>
        <w:rPr>
          <w:rFonts w:cs="Calibri" w:ascii="Calibri:onum=1" w:hAnsi="Calibri:onum=1"/>
          <w:color w:val="000000"/>
          <w:sz w:val="22"/>
          <w:szCs w:val="22"/>
        </w:rPr>
        <w:t>Να δυναμώσει η αλληλεγγύη στους λαούς του Ιράν, της Παλαιστίνης, του Λιβάνου, της Κούβας, της Βενεζουέλας, σε κάθε λαό που είναι θύμα της ιμπεριαλιστικής βαρβαρότητας.</w:t>
      </w:r>
    </w:p>
    <w:sectPr>
      <w:headerReference w:type="even" r:id="rId2"/>
      <w:headerReference w:type="default" r:id="rId3"/>
      <w:headerReference w:type="first" r:id="rId4"/>
      <w:footerReference w:type="even" r:id="rId5"/>
      <w:footerReference w:type="default" r:id="rId6"/>
      <w:footerReference w:type="first" r:id="rId7"/>
      <w:type w:val="nextPage"/>
      <w:pgSz w:w="11906" w:h="16838"/>
      <w:pgMar w:left="1134" w:right="1134" w:gutter="0" w:header="850" w:top="1433" w:footer="850" w:bottom="1409"/>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Mono">
    <w:altName w:val="Courier New"/>
    <w:charset w:val="01" w:characterSet="utf-8"/>
    <w:family w:val="roman"/>
    <w:pitch w:val="variable"/>
  </w:font>
  <w:font w:name="Symbol">
    <w:charset w:val="01" w:characterSet="utf-8"/>
    <w:family w:val="roman"/>
    <w:pitch w:val="variable"/>
  </w:font>
  <w:font w:name="OpenSymbol">
    <w:altName w:val="Arial Unicode MS"/>
    <w:charset w:val="01" w:characterSet="utf-8"/>
    <w:family w:val="roman"/>
    <w:pitch w:val="variable"/>
  </w:font>
  <w:font w:name="Liberation Sans">
    <w:altName w:val="Arial"/>
    <w:charset w:val="01" w:characterSet="utf-8"/>
    <w:family w:val="roman"/>
    <w:pitch w:val="variable"/>
  </w:font>
  <w:font w:name="Times New Roman">
    <w:charset w:val="01" w:characterSet="utf-8"/>
    <w:family w:val="roman"/>
    <w:pitch w:val="variable"/>
  </w:font>
  <w:font w:name="Calibri:onum=1">
    <w:charset w:val="01" w:characterSet="utf-8"/>
    <w:family w:val="roman"/>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rFonts w:ascii="Calibri:onum=1" w:hAnsi="Calibri:onum=1"/>
        <w:sz w:val="22"/>
        <w:szCs w:val="22"/>
      </w:rPr>
    </w:pPr>
    <w:r>
      <w:rPr>
        <w:rFonts w:ascii="Calibri:onum=1" w:hAnsi="Calibri:onum=1"/>
        <w:sz w:val="22"/>
        <w:szCs w:val="22"/>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rFonts w:ascii="Calibri:onum=1" w:hAnsi="Calibri:onum=1"/>
        <w:sz w:val="22"/>
        <w:szCs w:val="22"/>
      </w:rPr>
    </w:pPr>
    <w:r>
      <w:rPr>
        <w:rFonts w:ascii="Calibri:onum=1" w:hAnsi="Calibri:onum=1"/>
        <w:sz w:val="22"/>
        <w:szCs w:val="22"/>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start"/>
      <w:pPr>
        <w:tabs>
          <w:tab w:val="num" w:pos="720"/>
        </w:tabs>
        <w:ind w:start="720" w:hanging="360"/>
      </w:pPr>
      <w:rPr>
        <w:rFonts w:ascii="Symbol" w:hAnsi="Symbol" w:cs="Symbol" w:hint="default"/>
        <w:sz w:val="20"/>
      </w:rPr>
    </w:lvl>
    <w:lvl w:ilvl="1">
      <w:start w:val="1"/>
      <w:numFmt w:val="bullet"/>
      <w:lvlText w:val="o"/>
      <w:lvlJc w:val="start"/>
      <w:pPr>
        <w:tabs>
          <w:tab w:val="num" w:pos="1440"/>
        </w:tabs>
        <w:ind w:start="1440" w:hanging="360"/>
      </w:pPr>
      <w:rPr>
        <w:rFonts w:ascii="Courier New" w:hAnsi="Courier New" w:cs="Courier New" w:hint="default"/>
        <w:sz w:val="20"/>
      </w:rPr>
    </w:lvl>
    <w:lvl w:ilvl="2">
      <w:start w:val="1"/>
      <w:numFmt w:val="bullet"/>
      <w:lvlText w:val=""/>
      <w:lvlJc w:val="start"/>
      <w:pPr>
        <w:tabs>
          <w:tab w:val="num" w:pos="2160"/>
        </w:tabs>
        <w:ind w:start="2160" w:hanging="360"/>
      </w:pPr>
      <w:rPr>
        <w:rFonts w:ascii="Wingdings" w:hAnsi="Wingdings" w:cs="Wingdings" w:hint="default"/>
        <w:sz w:val="20"/>
      </w:rPr>
    </w:lvl>
    <w:lvl w:ilvl="3">
      <w:start w:val="1"/>
      <w:numFmt w:val="bullet"/>
      <w:lvlText w:val=""/>
      <w:lvlJc w:val="start"/>
      <w:pPr>
        <w:tabs>
          <w:tab w:val="num" w:pos="2880"/>
        </w:tabs>
        <w:ind w:start="2880" w:hanging="360"/>
      </w:pPr>
      <w:rPr>
        <w:rFonts w:ascii="Wingdings" w:hAnsi="Wingdings" w:cs="Wingdings" w:hint="default"/>
        <w:sz w:val="20"/>
      </w:rPr>
    </w:lvl>
    <w:lvl w:ilvl="4">
      <w:start w:val="1"/>
      <w:numFmt w:val="bullet"/>
      <w:lvlText w:val=""/>
      <w:lvlJc w:val="start"/>
      <w:pPr>
        <w:tabs>
          <w:tab w:val="num" w:pos="3600"/>
        </w:tabs>
        <w:ind w:start="3600" w:hanging="360"/>
      </w:pPr>
      <w:rPr>
        <w:rFonts w:ascii="Wingdings" w:hAnsi="Wingdings" w:cs="Wingdings" w:hint="default"/>
        <w:sz w:val="20"/>
      </w:rPr>
    </w:lvl>
    <w:lvl w:ilvl="5">
      <w:start w:val="1"/>
      <w:numFmt w:val="bullet"/>
      <w:lvlText w:val=""/>
      <w:lvlJc w:val="start"/>
      <w:pPr>
        <w:tabs>
          <w:tab w:val="num" w:pos="4320"/>
        </w:tabs>
        <w:ind w:start="4320" w:hanging="360"/>
      </w:pPr>
      <w:rPr>
        <w:rFonts w:ascii="Wingdings" w:hAnsi="Wingdings" w:cs="Wingdings" w:hint="default"/>
        <w:sz w:val="20"/>
      </w:rPr>
    </w:lvl>
    <w:lvl w:ilvl="6">
      <w:start w:val="1"/>
      <w:numFmt w:val="bullet"/>
      <w:lvlText w:val=""/>
      <w:lvlJc w:val="start"/>
      <w:pPr>
        <w:tabs>
          <w:tab w:val="num" w:pos="5040"/>
        </w:tabs>
        <w:ind w:start="5040" w:hanging="360"/>
      </w:pPr>
      <w:rPr>
        <w:rFonts w:ascii="Wingdings" w:hAnsi="Wingdings" w:cs="Wingdings" w:hint="default"/>
        <w:sz w:val="20"/>
      </w:rPr>
    </w:lvl>
    <w:lvl w:ilvl="7">
      <w:start w:val="1"/>
      <w:numFmt w:val="bullet"/>
      <w:lvlText w:val=""/>
      <w:lvlJc w:val="start"/>
      <w:pPr>
        <w:tabs>
          <w:tab w:val="num" w:pos="5760"/>
        </w:tabs>
        <w:ind w:start="5760" w:hanging="360"/>
      </w:pPr>
      <w:rPr>
        <w:rFonts w:ascii="Wingdings" w:hAnsi="Wingdings" w:cs="Wingdings" w:hint="default"/>
        <w:sz w:val="20"/>
      </w:rPr>
    </w:lvl>
    <w:lvl w:ilvl="8">
      <w:start w:val="1"/>
      <w:numFmt w:val="bullet"/>
      <w:lvlText w:val=""/>
      <w:lvlJc w:val="start"/>
      <w:pPr>
        <w:tabs>
          <w:tab w:val="num" w:pos="6480"/>
        </w:tabs>
        <w:ind w:start="6480" w:hanging="360"/>
      </w:pPr>
      <w:rPr>
        <w:rFonts w:ascii="Wingdings" w:hAnsi="Wingdings" w:cs="Wingdings" w:hint="default"/>
        <w:sz w:val="20"/>
      </w:rPr>
    </w:lvl>
  </w:abstractNum>
  <w:abstractNum w:abstractNumId="2">
    <w:lvl w:ilvl="0">
      <w:start w:val="1"/>
      <w:numFmt w:val="none"/>
      <w:suff w:val="nothing"/>
      <w:lvlText w:val=""/>
      <w:lvlJc w:val="start"/>
      <w:pPr>
        <w:tabs>
          <w:tab w:val="num" w:pos="0"/>
        </w:tabs>
        <w:ind w:start="0" w:hanging="0"/>
      </w:pPr>
    </w:lvl>
    <w:lvl w:ilvl="1">
      <w:start w:val="1"/>
      <w:numFmt w:val="none"/>
      <w:suff w:val="nothing"/>
      <w:lvlText w:val=""/>
      <w:lvlJc w:val="start"/>
      <w:pPr>
        <w:tabs>
          <w:tab w:val="num" w:pos="0"/>
        </w:tabs>
        <w:ind w:start="0" w:hanging="0"/>
      </w:pPr>
    </w:lvl>
    <w:lvl w:ilvl="2">
      <w:start w:val="1"/>
      <w:numFmt w:val="none"/>
      <w:suff w:val="nothing"/>
      <w:lvlText w:val=""/>
      <w:lvlJc w:val="start"/>
      <w:pPr>
        <w:tabs>
          <w:tab w:val="num" w:pos="0"/>
        </w:tabs>
        <w:ind w:start="0" w:hanging="0"/>
      </w:pPr>
    </w:lvl>
    <w:lvl w:ilvl="3">
      <w:start w:val="1"/>
      <w:numFmt w:val="none"/>
      <w:suff w:val="nothing"/>
      <w:lvlText w:val=""/>
      <w:lvlJc w:val="start"/>
      <w:pPr>
        <w:tabs>
          <w:tab w:val="num" w:pos="0"/>
        </w:tabs>
        <w:ind w:start="0" w:hanging="0"/>
      </w:pPr>
    </w:lvl>
    <w:lvl w:ilvl="4">
      <w:start w:val="1"/>
      <w:numFmt w:val="none"/>
      <w:suff w:val="nothing"/>
      <w:lvlText w:val=""/>
      <w:lvlJc w:val="start"/>
      <w:pPr>
        <w:tabs>
          <w:tab w:val="num" w:pos="0"/>
        </w:tabs>
        <w:ind w:start="0" w:hanging="0"/>
      </w:pPr>
    </w:lvl>
    <w:lvl w:ilvl="5">
      <w:start w:val="1"/>
      <w:numFmt w:val="none"/>
      <w:suff w:val="nothing"/>
      <w:lvlText w:val=""/>
      <w:lvlJc w:val="start"/>
      <w:pPr>
        <w:tabs>
          <w:tab w:val="num" w:pos="0"/>
        </w:tabs>
        <w:ind w:start="0" w:hanging="0"/>
      </w:pPr>
    </w:lvl>
    <w:lvl w:ilvl="6">
      <w:start w:val="1"/>
      <w:numFmt w:val="none"/>
      <w:suff w:val="nothing"/>
      <w:lvlText w:val=""/>
      <w:lvlJc w:val="start"/>
      <w:pPr>
        <w:tabs>
          <w:tab w:val="num" w:pos="0"/>
        </w:tabs>
        <w:ind w:start="0" w:hanging="0"/>
      </w:pPr>
    </w:lvl>
    <w:lvl w:ilvl="7">
      <w:start w:val="1"/>
      <w:numFmt w:val="none"/>
      <w:suff w:val="nothing"/>
      <w:lvlText w:val=""/>
      <w:lvlJc w:val="start"/>
      <w:pPr>
        <w:tabs>
          <w:tab w:val="num" w:pos="0"/>
        </w:tabs>
        <w:ind w:start="0" w:hanging="0"/>
      </w:pPr>
    </w:lvl>
    <w:lvl w:ilvl="8">
      <w:start w:val="1"/>
      <w:numFmt w:val="none"/>
      <w:suff w:val="nothing"/>
      <w:lvlText w:val=""/>
      <w:lvlJc w:val="start"/>
      <w:pPr>
        <w:tabs>
          <w:tab w:val="num" w:pos="0"/>
        </w:tabs>
        <w:ind w:start="0" w:hanging="0"/>
      </w:pPr>
    </w:lvl>
  </w:abstractNum>
  <w:num w:numId="1">
    <w:abstractNumId w:val="1"/>
  </w:num>
  <w:num w:numId="2">
    <w:abstractNumId w:val="2"/>
  </w:num>
</w:numbering>
</file>

<file path=word/settings.xml><?xml version="1.0" encoding="utf-8"?>
<w:settings xmlns:w="http://schemas.openxmlformats.org/wordprocessingml/2006/main">
  <w:zoom w:percent="181"/>
  <w:defaultTabStop w:val="709"/>
  <w:autoHyphenation w:val="true"/>
  <w:hyphenationZone w:val="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Gargi-1.2b"/>
        <w:kern w:val="2"/>
        <w:sz w:val="24"/>
        <w:szCs w:val="24"/>
        <w:lang w:val="el-GR" w:eastAsia="zh-CN" w:bidi="hi-IN"/>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start"/>
    </w:pPr>
    <w:rPr>
      <w:rFonts w:ascii="Liberation Serif" w:hAnsi="Liberation Serif" w:eastAsia="DejaVu Sans" w:cs="Gargi-1.2b"/>
      <w:color w:val="auto"/>
      <w:kern w:val="2"/>
      <w:sz w:val="24"/>
      <w:szCs w:val="24"/>
      <w:lang w:val="el-GR" w:eastAsia="zh-CN" w:bidi="hi-IN"/>
    </w:rPr>
  </w:style>
  <w:style w:type="character" w:styleId="DefaultParagraphFont" w:default="1">
    <w:name w:val="Default Paragraph Font"/>
    <w:uiPriority w:val="1"/>
    <w:semiHidden/>
    <w:unhideWhenUsed/>
    <w:qFormat/>
    <w:rPr/>
  </w:style>
  <w:style w:type="character" w:styleId="Teletype" w:customStyle="1">
    <w:name w:val="Teletype"/>
    <w:qFormat/>
    <w:rPr>
      <w:rFonts w:ascii="Liberation Mono;Courier New" w:hAnsi="Liberation Mono;Courier New" w:eastAsia="Courier New" w:cs="Liberation Mono;Courier New"/>
    </w:rPr>
  </w:style>
  <w:style w:type="character" w:styleId="WW8Num1z0" w:customStyle="1">
    <w:name w:val="WW8Num1z0"/>
    <w:qFormat/>
    <w:rPr>
      <w:rFonts w:ascii="Symbol" w:hAnsi="Symbol" w:cs="Symbol"/>
    </w:rPr>
  </w:style>
  <w:style w:type="character" w:styleId="WW8Num1z1" w:customStyle="1">
    <w:name w:val="WW8Num1z1"/>
    <w:qFormat/>
    <w:rPr>
      <w:rFonts w:ascii="OpenSymbol;Arial Unicode MS" w:hAnsi="OpenSymbol;Arial Unicode MS" w:cs="OpenSymbol;Arial Unicode MS"/>
    </w:rPr>
  </w:style>
  <w:style w:type="character" w:styleId="1" w:customStyle="1">
    <w:name w:val="Έντονο1"/>
    <w:qFormat/>
    <w:rPr>
      <w:b/>
      <w:bCs/>
    </w:rPr>
  </w:style>
  <w:style w:type="character" w:styleId="Bulletsuser" w:customStyle="1">
    <w:name w:val="Bullets (user)"/>
    <w:qFormat/>
    <w:rPr>
      <w:rFonts w:ascii="OpenSymbol" w:hAnsi="OpenSymbol" w:eastAsia="OpenSymbol" w:cs="OpenSymbol"/>
    </w:rPr>
  </w:style>
  <w:style w:type="character" w:styleId="Strong">
    <w:name w:val="Strong"/>
    <w:qFormat/>
    <w:rPr>
      <w:b/>
      <w:bCs/>
    </w:rPr>
  </w:style>
  <w:style w:type="paragraph" w:styleId="Heading" w:customStyle="1">
    <w:name w:val="Heading"/>
    <w:basedOn w:val="Normal"/>
    <w:next w:val="BodyText"/>
    <w:qFormat/>
    <w:pPr>
      <w:keepNext w:val="true"/>
      <w:spacing w:before="240" w:after="120"/>
    </w:pPr>
    <w:rPr>
      <w:rFonts w:ascii="Liberation Sans" w:hAnsi="Liberation Sans"/>
      <w:sz w:val="28"/>
      <w:szCs w:val="28"/>
    </w:rPr>
  </w:style>
  <w:style w:type="paragraph" w:styleId="BodyText">
    <w:name w:val="Body Text"/>
    <w:basedOn w:val="Normal"/>
    <w:pPr>
      <w:spacing w:lineRule="auto" w:line="276" w:before="0" w:after="140"/>
    </w:pPr>
    <w:rPr/>
  </w:style>
  <w:style w:type="paragraph" w:styleId="List">
    <w:name w:val="List"/>
    <w:basedOn w:val="BodyText"/>
    <w:pPr/>
    <w:rPr/>
  </w:style>
  <w:style w:type="paragraph" w:styleId="Caption">
    <w:name w:val="caption"/>
    <w:basedOn w:val="Normal"/>
    <w:qFormat/>
    <w:pPr>
      <w:suppressLineNumbers/>
      <w:spacing w:before="120" w:after="120"/>
    </w:pPr>
    <w:rPr>
      <w:rFonts w:ascii="Times New Roman" w:hAnsi="Times New Roman" w:cs="Lohit Devanagari"/>
      <w:i/>
      <w:iCs/>
    </w:rPr>
  </w:style>
  <w:style w:type="paragraph" w:styleId="Index" w:customStyle="1">
    <w:name w:val="Index"/>
    <w:basedOn w:val="Normal"/>
    <w:qFormat/>
    <w:pPr>
      <w:suppressLineNumbers/>
    </w:pPr>
    <w:rPr/>
  </w:style>
  <w:style w:type="paragraph" w:styleId="caption1" w:customStyle="1">
    <w:name w:val="caption1"/>
    <w:basedOn w:val="Normal"/>
    <w:qFormat/>
    <w:pPr>
      <w:suppressLineNumbers/>
      <w:spacing w:before="120" w:after="120"/>
    </w:pPr>
    <w:rPr>
      <w:i/>
      <w:iCs/>
    </w:rPr>
  </w:style>
  <w:style w:type="paragraph" w:styleId="HeaderandFooter" w:customStyle="1">
    <w:name w:val="Header and Footer"/>
    <w:basedOn w:val="Normal"/>
    <w:qFormat/>
    <w:pPr>
      <w:suppressLineNumbers/>
      <w:tabs>
        <w:tab w:val="clear" w:pos="709"/>
        <w:tab w:val="center" w:pos="4819" w:leader="none"/>
        <w:tab w:val="right" w:pos="9638" w:leader="none"/>
      </w:tabs>
    </w:pPr>
    <w:rPr/>
  </w:style>
  <w:style w:type="paragraph" w:styleId="Header">
    <w:name w:val="header"/>
    <w:basedOn w:val="HeaderandFooter"/>
    <w:pPr/>
    <w:rPr/>
  </w:style>
  <w:style w:type="paragraph" w:styleId="Footer">
    <w:name w:val="footer"/>
    <w:basedOn w:val="HeaderandFooter"/>
    <w:pPr/>
    <w:rPr/>
  </w:style>
  <w:style w:type="paragraph" w:styleId="BlockQuotationuser" w:customStyle="1">
    <w:name w:val="Block Quotation (user)"/>
    <w:basedOn w:val="Normal"/>
    <w:qFormat/>
    <w:pPr>
      <w:spacing w:before="0" w:after="283"/>
      <w:ind w:start="567" w:end="567"/>
    </w:pPr>
    <w:rPr/>
  </w:style>
  <w:style w:type="paragraph" w:styleId="Revision">
    <w:name w:val="Revision"/>
    <w:qFormat/>
    <w:pPr>
      <w:widowControl/>
      <w:suppressAutoHyphens w:val="false"/>
      <w:bidi w:val="0"/>
      <w:spacing w:before="0" w:after="0"/>
      <w:jc w:val="start"/>
    </w:pPr>
    <w:rPr>
      <w:rFonts w:ascii="Liberation Serif" w:hAnsi="Liberation Serif" w:eastAsia="DejaVu Sans" w:cs="Mangal"/>
      <w:color w:val="auto"/>
      <w:kern w:val="2"/>
      <w:sz w:val="24"/>
      <w:szCs w:val="21"/>
      <w:lang w:val="el-GR" w:eastAsia="zh-CN" w:bidi="hi-IN"/>
    </w:rPr>
  </w:style>
  <w:style w:type="paragraph" w:styleId="ListParagraph">
    <w:name w:val="List Paragraph"/>
    <w:basedOn w:val="Normal"/>
    <w:uiPriority w:val="34"/>
    <w:qFormat/>
    <w:pPr>
      <w:spacing w:before="0" w:after="0"/>
      <w:ind w:start="72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numbering" Target="numbering.xml"/><Relationship Id="rId9" Type="http://schemas.openxmlformats.org/officeDocument/2006/relationships/fontTable" Target="fontTable.xml"/><Relationship Id="rId10" Type="http://schemas.openxmlformats.org/officeDocument/2006/relationships/settings" Target="settings.xml"/><Relationship Id="rId11"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29</TotalTime>
  <Application>LibreOffice/25.2.6.2$Linux_X86_64 LibreOffice_project/520$Build-2</Application>
  <AppVersion>15.0000</AppVersion>
  <Pages>1</Pages>
  <Words>422</Words>
  <Characters>2443</Characters>
  <CharactersWithSpaces>2854</CharactersWithSpaces>
  <Paragraphs>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2026-03-24T12:27:48Z</dcterms:created>
  <dc:creator/>
  <dc:description/>
  <dc:language>el-GR</dc:language>
  <cp:lastModifiedBy/>
  <dcterms:modified xsi:type="dcterms:W3CDTF">2026-04-02T10:17:55Z</dcterms:modified>
  <cp:revision>22</cp:revision>
  <dc:subject/>
  <dc:title/>
</cp:coreProperties>
</file>

<file path=docProps/custom.xml><?xml version="1.0" encoding="utf-8"?>
<Properties xmlns="http://schemas.openxmlformats.org/officeDocument/2006/custom-properties" xmlns:vt="http://schemas.openxmlformats.org/officeDocument/2006/docPropsVTypes"/>
</file>