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9"/>
        <w:spacing w:lineRule="auto" w:line="240" w:before="0" w:after="0"/>
        <w:jc w:val="center"/>
        <w:rPr>
          <w:lang w:val="el-GR"/>
        </w:rPr>
      </w:pPr>
      <w:r>
        <w:rPr>
          <w:rStyle w:val="Style15"/>
          <w:rFonts w:cs="Calibri" w:ascii="Times New Roman" w:hAnsi="Times New Roman" w:cstheme="minorHAnsi"/>
          <w:color w:val="000000"/>
          <w:lang w:val="el-GR"/>
        </w:rPr>
        <w:t xml:space="preserve">Εισήγηση Κεντρικού Συμβουλίου Συλλόγου ΔΕΠ Πανεπιστημίου Αιγαίου </w:t>
      </w:r>
    </w:p>
    <w:p>
      <w:pPr>
        <w:pStyle w:val="Style19"/>
        <w:spacing w:lineRule="auto" w:line="240" w:before="0" w:after="0"/>
        <w:jc w:val="center"/>
        <w:rPr>
          <w:lang w:val="el-GR"/>
        </w:rPr>
      </w:pPr>
      <w:r>
        <w:rPr>
          <w:rStyle w:val="Style15"/>
          <w:rFonts w:cs="Calibri" w:ascii="Times New Roman" w:hAnsi="Times New Roman" w:cstheme="minorHAnsi"/>
          <w:color w:val="000000"/>
          <w:lang w:val="el-GR"/>
        </w:rPr>
        <w:t>στη Συνάντηση των μελών του Συλλόγου την Τρίτη 20 Σεπτεμβρίου 2022</w:t>
        <w:br/>
      </w:r>
    </w:p>
    <w:p>
      <w:pPr>
        <w:pStyle w:val="Style19"/>
        <w:spacing w:lineRule="auto" w:line="240" w:before="0" w:after="0"/>
        <w:jc w:val="center"/>
        <w:rPr>
          <w:lang w:val="el-GR"/>
        </w:rPr>
      </w:pPr>
      <w:r>
        <w:rPr>
          <w:rStyle w:val="IntenseEmphasis"/>
          <w:rFonts w:eastAsia="Calibri" w:cs="Calibri" w:ascii="Times New Roman" w:hAnsi="Times New Roman" w:cstheme="minorHAnsi"/>
          <w:color w:val="000000"/>
          <w:lang w:val="el-GR" w:eastAsia="en-US"/>
        </w:rPr>
        <w:t>Μη Εφαρμογή Νόμου Κεραμέως: Εκλογές για εσωτερικά μέλη Συμβουλίου Διοίκησης</w:t>
      </w:r>
    </w:p>
    <w:p>
      <w:pPr>
        <w:pStyle w:val="Style19"/>
        <w:spacing w:lineRule="auto" w:line="240" w:before="0" w:after="0"/>
        <w:jc w:val="center"/>
        <w:rPr>
          <w:lang w:val="el-GR"/>
        </w:rPr>
      </w:pPr>
      <w:r>
        <w:rPr>
          <w:rStyle w:val="IntenseEmphasis"/>
          <w:rFonts w:eastAsia="Calibri" w:cs="Calibri" w:ascii="Times New Roman" w:hAnsi="Times New Roman" w:cstheme="minorHAnsi"/>
          <w:color w:val="000000"/>
          <w:lang w:val="el-GR" w:eastAsia="en-US"/>
        </w:rPr>
        <w:t>Δεν συμμετέχουμε ως υποψήφιοι/ες, δεν συμμετέχουμε ως εκλέκτορες!</w:t>
      </w:r>
    </w:p>
    <w:p>
      <w:pPr>
        <w:pStyle w:val="Style19"/>
        <w:spacing w:lineRule="auto" w:line="240" w:before="0" w:after="0"/>
        <w:jc w:val="center"/>
        <w:rPr>
          <w:rStyle w:val="Style15"/>
          <w:rFonts w:ascii="Times New Roman" w:hAnsi="Times New Roman"/>
          <w:color w:val="000000"/>
          <w:lang w:val="el-GR"/>
        </w:rPr>
      </w:pPr>
      <w:r>
        <w:rPr>
          <w:rFonts w:ascii="Times New Roman" w:hAnsi="Times New Roman"/>
          <w:color w:val="000000"/>
          <w:lang w:val="el-GR"/>
        </w:rPr>
      </w:r>
    </w:p>
    <w:p>
      <w:pPr>
        <w:pStyle w:val="Style19"/>
        <w:spacing w:lineRule="auto" w:line="240" w:before="0" w:after="0"/>
        <w:jc w:val="center"/>
        <w:rPr>
          <w:lang w:val="el-GR"/>
        </w:rPr>
      </w:pPr>
      <w:bookmarkStart w:id="0" w:name="page81R_mcid163"/>
      <w:bookmarkStart w:id="1" w:name="page81R_mcid162"/>
      <w:bookmarkEnd w:id="0"/>
      <w:bookmarkEnd w:id="1"/>
      <w:r>
        <w:rPr>
          <w:rStyle w:val="Style15"/>
          <w:rFonts w:eastAsia="Calibri" w:cs="Calibri" w:ascii="Times New Roman" w:hAnsi="Times New Roman" w:cstheme="minorHAnsi"/>
          <w:color w:val="000000"/>
          <w:lang w:val="el-GR" w:eastAsia="en-US"/>
        </w:rPr>
        <w:t> </w:t>
      </w:r>
      <w:r>
        <w:rPr>
          <w:rStyle w:val="Style15"/>
          <w:rFonts w:eastAsia="Calibri" w:cs="Calibri" w:ascii="Times New Roman" w:hAnsi="Times New Roman" w:cstheme="minorHAnsi"/>
          <w:color w:val="000000"/>
          <w:lang w:val="el-GR" w:eastAsia="en-US"/>
        </w:rPr>
        <w:t>16 Σεπτεμβρίου 2022</w:t>
      </w:r>
      <w:bookmarkStart w:id="2" w:name="page81R_mcid16"/>
      <w:bookmarkEnd w:id="2"/>
    </w:p>
    <w:p>
      <w:pPr>
        <w:pStyle w:val="Style19"/>
        <w:spacing w:lineRule="auto" w:line="240" w:before="0" w:after="0"/>
        <w:rPr>
          <w:rStyle w:val="IntenseEmphasis"/>
          <w:rFonts w:ascii="Times New Roman" w:hAnsi="Times New Roman"/>
          <w:color w:val="000000"/>
          <w:lang w:val="el-GR"/>
        </w:rPr>
      </w:pPr>
      <w:r>
        <w:rPr>
          <w:rFonts w:ascii="Times New Roman" w:hAnsi="Times New Roman"/>
          <w:color w:val="000000"/>
          <w:lang w:val="el-GR"/>
        </w:rPr>
      </w:r>
    </w:p>
    <w:p>
      <w:pPr>
        <w:pStyle w:val="Style19"/>
        <w:spacing w:lineRule="auto" w:line="240" w:before="0" w:after="0"/>
        <w:jc w:val="both"/>
        <w:rPr>
          <w:rFonts w:ascii="Times New Roman" w:hAnsi="Times New Roman"/>
          <w:color w:val="000000"/>
          <w:lang w:val="el-GR"/>
        </w:rPr>
      </w:pPr>
      <w:r>
        <w:rPr>
          <w:rFonts w:cs="Calibri" w:ascii="Times New Roman" w:hAnsi="Times New Roman" w:cstheme="minorHAnsi"/>
          <w:color w:val="000000"/>
          <w:lang w:val="el-GR"/>
        </w:rPr>
        <w:t xml:space="preserve">Κατά την τελευταία δεκαετία, οι ακαδημαϊκοί λειτουργοί είναι αντιμέτωποι με πρωτοφανείς πιέσεις που θίγουν σοβαρά την αξιοπρεπή διαβίωσή τους αλλά και την ακαδημαϊκή λειτουργία του ίδιου του πανεπιστημίου: υποχρηματοδότηση πανεπιστημίων, καθήλωση μισθών, περικοπές στη δημόσια χρηματοδότηση της έρευνας και της δημοσιοποίησής της σε διεθνή συνέδρια, συρρίκνωση επιδομάτων, και μη πρόσβαση σε επιστημονικά περιοδικά αιχμής. </w:t>
      </w:r>
    </w:p>
    <w:p>
      <w:pPr>
        <w:pStyle w:val="Style19"/>
        <w:spacing w:lineRule="auto" w:line="240" w:before="0" w:after="0"/>
        <w:jc w:val="both"/>
        <w:rPr>
          <w:rFonts w:ascii="Times New Roman" w:hAnsi="Times New Roman" w:cs="Calibri" w:cstheme="minorHAnsi"/>
          <w:color w:val="000000"/>
          <w:lang w:val="el-GR"/>
        </w:rPr>
      </w:pPr>
      <w:r>
        <w:rPr>
          <w:rFonts w:cs="Calibri" w:cstheme="minorHAnsi" w:ascii="Times New Roman" w:hAnsi="Times New Roman"/>
          <w:color w:val="000000"/>
          <w:lang w:val="el-GR"/>
        </w:rPr>
      </w:r>
    </w:p>
    <w:p>
      <w:pPr>
        <w:pStyle w:val="Style19"/>
        <w:spacing w:lineRule="auto" w:line="240" w:before="0" w:after="0"/>
        <w:jc w:val="both"/>
        <w:rPr>
          <w:rFonts w:ascii="Times New Roman" w:hAnsi="Times New Roman"/>
          <w:color w:val="000000"/>
          <w:lang w:val="el-GR"/>
        </w:rPr>
      </w:pPr>
      <w:r>
        <w:rPr>
          <w:rFonts w:cs="Calibri" w:ascii="Times New Roman" w:hAnsi="Times New Roman" w:cstheme="minorHAnsi"/>
          <w:color w:val="000000"/>
          <w:lang w:val="el-GR"/>
        </w:rPr>
        <w:t xml:space="preserve">Μέσα σε αυτό το πλαίσιο, ο Νόμος 4957/2022 («Νόμος Κεραμέως») όχι μόνο δεν αντιμετωπίζει τις παθογένειες των Ανώτατων Ιδρυμάτων, αλλά αντίθετα τις ενισχύει σε όλα τα επίπεδα. Συγκεντρώνει όλα όσα έχουν περάσει οι προηγούμενοι νόμοι και τα συμπληρώνει με στόχο την πλήρη εναρμόνιση με τη συνθήκη της Μπολόνια. Προωθεί την περαιτέρω σύνδεση των ΑΕΙ με τις επιχειρήσεις: με τη συμμετοχή εξωπανεπιστημιακών στα Συμβούλια Διοίκησης, τη δημιουργία «επαγγελματικών» μεταπτυχιακών, «βιομηχανικών» διδακτορικών, </w:t>
      </w:r>
      <w:r>
        <w:rPr>
          <w:rFonts w:cs="Calibri" w:ascii="Times New Roman" w:hAnsi="Times New Roman" w:cstheme="minorHAnsi"/>
          <w:color w:val="000000"/>
        </w:rPr>
        <w:t>start</w:t>
      </w:r>
      <w:r>
        <w:rPr>
          <w:rFonts w:cs="Calibri" w:ascii="Times New Roman" w:hAnsi="Times New Roman" w:cstheme="minorHAnsi"/>
          <w:color w:val="000000"/>
          <w:lang w:val="el-GR"/>
        </w:rPr>
        <w:t xml:space="preserve"> </w:t>
      </w:r>
      <w:r>
        <w:rPr>
          <w:rFonts w:cs="Calibri" w:ascii="Times New Roman" w:hAnsi="Times New Roman" w:cstheme="minorHAnsi"/>
          <w:color w:val="000000"/>
        </w:rPr>
        <w:t>up</w:t>
      </w:r>
      <w:r>
        <w:rPr>
          <w:rFonts w:cs="Calibri" w:ascii="Times New Roman" w:hAnsi="Times New Roman" w:cstheme="minorHAnsi"/>
          <w:color w:val="000000"/>
          <w:lang w:val="el-GR"/>
        </w:rPr>
        <w:t xml:space="preserve">, </w:t>
      </w:r>
      <w:r>
        <w:rPr>
          <w:rFonts w:cs="Calibri" w:ascii="Times New Roman" w:hAnsi="Times New Roman" w:cstheme="minorHAnsi"/>
          <w:color w:val="000000"/>
        </w:rPr>
        <w:t>spin</w:t>
      </w:r>
      <w:r>
        <w:rPr>
          <w:rFonts w:cs="Calibri" w:ascii="Times New Roman" w:hAnsi="Times New Roman" w:cstheme="minorHAnsi"/>
          <w:color w:val="000000"/>
          <w:lang w:val="el-GR"/>
        </w:rPr>
        <w:t xml:space="preserve"> </w:t>
      </w:r>
      <w:r>
        <w:rPr>
          <w:rFonts w:cs="Calibri" w:ascii="Times New Roman" w:hAnsi="Times New Roman" w:cstheme="minorHAnsi"/>
          <w:color w:val="000000"/>
        </w:rPr>
        <w:t>off</w:t>
      </w:r>
      <w:r>
        <w:rPr>
          <w:rFonts w:cs="Calibri" w:ascii="Times New Roman" w:hAnsi="Times New Roman" w:cstheme="minorHAnsi"/>
          <w:color w:val="000000"/>
          <w:lang w:val="el-GR"/>
        </w:rPr>
        <w:t xml:space="preserve"> κ.ά. Ενισχύει την εμπορευματοποίηση όλων των πλευρών των Πανεπιστημίων: προγράμματα κατάρτισης, ξενόγλωσσα προπτυχιακά και μεταπτυχιακά προγράμματα με δίδακτρα, θερινά σχολεία με δίδακτρα, υπηρεσίες ερευνητικών εργαστηρίων κ.ά. Γενικεύει τις ευέλικτες σχέσεις εργασίας, μειώνει τις μόνιμες θέσεις ΔΕΠ, προωθεί το μοντέλο του καθηγητή-μάνατζερ. Συγχωνεύει ή καταργεί Τμήματα και μεθοδεύει το κλείσιμο Σχολών και Πανεπιστημίων, κυρίως της περιφέρειας, δημιουργώντας τις προϋποθέσεις για όλο και πιο λίγους εισακτέους (ελάχιστη βάση εισαγωγής, μηδενική μέριμνα για τη φοιτητική κατοικία και πολλά άλλα). Την ίδια στιγμή, η καταστολή και ο αυταρχισμός μέσα στα πανεπιστήμια εντείνονται, με αποκορύφωμα την εγκατάσταση Πανεπιστημιακής Αστυνομίας και την παρουσία ενός πάνοπλου σώματος των ΜΑΤ μέσα και έξω από κεντρικά ΑΕΙ.</w:t>
      </w:r>
    </w:p>
    <w:p>
      <w:pPr>
        <w:pStyle w:val="Style19"/>
        <w:spacing w:lineRule="auto" w:line="240" w:before="0" w:after="0"/>
        <w:jc w:val="both"/>
        <w:rPr>
          <w:rFonts w:ascii="Times New Roman" w:hAnsi="Times New Roman" w:cs="Calibri" w:cstheme="minorHAnsi"/>
          <w:color w:val="000000"/>
          <w:lang w:val="el-GR"/>
        </w:rPr>
      </w:pPr>
      <w:r>
        <w:rPr>
          <w:rFonts w:cs="Calibri" w:cstheme="minorHAnsi" w:ascii="Times New Roman" w:hAnsi="Times New Roman"/>
          <w:color w:val="000000"/>
          <w:lang w:val="el-GR"/>
        </w:rPr>
      </w:r>
    </w:p>
    <w:p>
      <w:pPr>
        <w:pStyle w:val="Style19"/>
        <w:spacing w:lineRule="auto" w:line="240" w:before="0" w:after="0"/>
        <w:jc w:val="both"/>
        <w:rPr>
          <w:rFonts w:ascii="Times New Roman" w:hAnsi="Times New Roman"/>
          <w:color w:val="000000"/>
          <w:lang w:val="el-GR"/>
        </w:rPr>
      </w:pPr>
      <w:r>
        <w:rPr>
          <w:rFonts w:cs="Calibri" w:ascii="Times New Roman" w:hAnsi="Times New Roman" w:cstheme="minorHAnsi"/>
          <w:color w:val="000000"/>
          <w:lang w:val="el-GR"/>
        </w:rPr>
        <w:t>Σ’ αυτό το ακραία δυσμενές κλίμα και εν μέσω θερινών διακοπών ξεκίνησε η εφαρμογή του</w:t>
      </w:r>
      <w:r>
        <w:rPr>
          <w:rFonts w:cs="Calibri" w:ascii="Times New Roman" w:hAnsi="Times New Roman" w:cstheme="minorHAnsi"/>
          <w:color w:val="000000"/>
          <w:lang w:val="el-GR"/>
        </w:rPr>
        <w:t>,</w:t>
      </w:r>
      <w:r>
        <w:rPr>
          <w:rFonts w:cs="Calibri" w:ascii="Times New Roman" w:hAnsi="Times New Roman" w:cstheme="minorHAnsi"/>
          <w:color w:val="000000"/>
          <w:lang w:val="el-GR"/>
        </w:rPr>
        <w:t xml:space="preserve"> μιας από τις πιο σημαντικές πτυχές του Νόμου, αυτής που αφορά στην ανάδειξη των μελών του Συμβουλίου Διοίκησης (ΣΔ). </w:t>
      </w:r>
    </w:p>
    <w:p>
      <w:pPr>
        <w:pStyle w:val="Style19"/>
        <w:spacing w:lineRule="auto" w:line="240" w:before="0" w:after="0"/>
        <w:jc w:val="both"/>
        <w:rPr>
          <w:rFonts w:ascii="Times New Roman" w:hAnsi="Times New Roman" w:cs="Calibri" w:cstheme="minorHAnsi"/>
          <w:color w:val="000000"/>
          <w:lang w:val="el-GR"/>
        </w:rPr>
      </w:pPr>
      <w:r>
        <w:rPr>
          <w:rFonts w:cs="Calibri" w:cstheme="minorHAnsi" w:ascii="Times New Roman" w:hAnsi="Times New Roman"/>
          <w:color w:val="000000"/>
          <w:lang w:val="el-GR"/>
        </w:rPr>
      </w:r>
    </w:p>
    <w:p>
      <w:pPr>
        <w:pStyle w:val="Style19"/>
        <w:spacing w:lineRule="auto" w:line="240" w:before="0" w:after="0"/>
        <w:jc w:val="both"/>
        <w:rPr>
          <w:rFonts w:ascii="Times New Roman" w:hAnsi="Times New Roman"/>
          <w:color w:val="000000"/>
          <w:lang w:val="el-GR"/>
        </w:rPr>
      </w:pPr>
      <w:r>
        <w:rPr>
          <w:rFonts w:cs="Calibri" w:ascii="Times New Roman" w:hAnsi="Times New Roman" w:cstheme="minorHAnsi"/>
          <w:color w:val="000000"/>
          <w:lang w:val="el-GR"/>
        </w:rPr>
        <w:t>Ειδικότερα:</w:t>
      </w:r>
    </w:p>
    <w:p>
      <w:pPr>
        <w:pStyle w:val="Style19"/>
        <w:spacing w:lineRule="auto" w:line="240" w:before="0" w:after="0"/>
        <w:jc w:val="both"/>
        <w:rPr>
          <w:rFonts w:ascii="Times New Roman" w:hAnsi="Times New Roman"/>
          <w:color w:val="000000"/>
          <w:lang w:val="el-GR"/>
        </w:rPr>
      </w:pPr>
      <w:r>
        <w:rPr>
          <w:rFonts w:cs="Calibri" w:ascii="Times New Roman" w:hAnsi="Times New Roman" w:cstheme="minorHAnsi"/>
          <w:color w:val="000000"/>
          <w:lang w:val="el-GR"/>
        </w:rPr>
        <w:t xml:space="preserve">Στις 19 Αυγούστου ενημερωθήκαμε από την Πρυτάνισσα ότι έχει αναρτηθεί στην ιστοσελίδα του  Ιδρύματος προκήρυξη για εκλογές 6 εσωτερικών μελών για το Συμβούλιο Διοίκησης του  Πανεπιστημίου Αιγαίου σε εφαρμογή του Ν. 4957/2022, με ορισμό τόσο της καταληκτικής  ημερομηνίας κατάθεσης υποψηφιοτήτων (5/10) όσο και της ημερομηνίας των εκλογών (3/11). Το  μήνυμα εστάλη αποκλειστικά στα μέλη ΔΕΠ του Ιδρύματος. Αντίστοιχο μήνυμα εστάλη επίσης από τους Πρυτάνεις άλλων 9 Πανεπιστήμιων (Πελοποννήσου, Μακεδονίας, Ιωαννίνων, Πειραιώς,  Θεσσαλίας, Γεωπονικό, Δημοκρίτειο, Θεσσαλίας και Πολυτεχνείο  Κρήτης) κατά την ίδια χρονική  περίοδο. </w:t>
      </w:r>
    </w:p>
    <w:p>
      <w:pPr>
        <w:pStyle w:val="Style19"/>
        <w:spacing w:lineRule="auto" w:line="240" w:before="0" w:after="0"/>
        <w:jc w:val="both"/>
        <w:rPr>
          <w:rFonts w:ascii="Times New Roman" w:hAnsi="Times New Roman" w:cs="Calibri" w:cstheme="minorHAnsi"/>
          <w:color w:val="000000"/>
          <w:lang w:val="el-GR"/>
        </w:rPr>
      </w:pPr>
      <w:r>
        <w:rPr>
          <w:rFonts w:cs="Calibri" w:cstheme="minorHAnsi" w:ascii="Times New Roman" w:hAnsi="Times New Roman"/>
          <w:color w:val="000000"/>
          <w:lang w:val="el-GR"/>
        </w:rPr>
      </w:r>
    </w:p>
    <w:p>
      <w:pPr>
        <w:pStyle w:val="Style19"/>
        <w:spacing w:lineRule="auto" w:line="240" w:before="0" w:after="0"/>
        <w:jc w:val="both"/>
        <w:rPr>
          <w:rFonts w:ascii="Times New Roman" w:hAnsi="Times New Roman"/>
          <w:color w:val="000000"/>
          <w:lang w:val="el-GR"/>
        </w:rPr>
      </w:pPr>
      <w:r>
        <w:rPr>
          <w:rFonts w:cs="Calibri" w:ascii="Times New Roman" w:hAnsi="Times New Roman" w:cstheme="minorHAnsi"/>
          <w:color w:val="000000"/>
          <w:lang w:val="el-GR"/>
        </w:rPr>
        <w:t>Χαρακτηριστικός του</w:t>
      </w:r>
      <w:r>
        <w:rPr>
          <w:rFonts w:cs="Calibri" w:ascii="Times New Roman" w:hAnsi="Times New Roman" w:cstheme="minorHAnsi"/>
          <w:color w:val="000000"/>
          <w:sz w:val="33"/>
          <w:lang w:val="el-GR"/>
        </w:rPr>
        <w:t xml:space="preserve"> </w:t>
      </w:r>
      <w:r>
        <w:rPr>
          <w:rFonts w:cs="Calibri" w:ascii="Times New Roman" w:hAnsi="Times New Roman" w:cstheme="minorHAnsi"/>
          <w:color w:val="000000"/>
          <w:lang w:val="el-GR"/>
        </w:rPr>
        <w:t>αυταρχικού περιεχομένου του Ν</w:t>
      </w:r>
      <w:r>
        <w:rPr>
          <w:rFonts w:cs="Calibri" w:ascii="Times New Roman" w:hAnsi="Times New Roman" w:cstheme="minorHAnsi"/>
          <w:color w:val="000000"/>
          <w:lang w:val="el-GR"/>
        </w:rPr>
        <w:t>.</w:t>
      </w:r>
      <w:r>
        <w:rPr>
          <w:rFonts w:cs="Calibri" w:ascii="Times New Roman" w:hAnsi="Times New Roman" w:cstheme="minorHAnsi"/>
          <w:color w:val="000000"/>
          <w:lang w:val="el-GR"/>
        </w:rPr>
        <w:t xml:space="preserve"> 4957/2022 είναι και ο τρόπος με τον οποίο ενημερώθηκε η Πανεπιστημιακή Κοινότητα: τα ηλεκτρονικά μηνύματα απευθύνθηκαν μόνο σε μέλη ΔΕΠ, καθώς μόνο αυτή η ομάδα ψηφίζει. Διοικητικοί υπάλληλοι, ΕΔιΠ, ΕΕΠ, ΕΤΕΠ, υπόλοιπο διδακτικό  προσωπικό, φοιτητές και φοιτήτριες, αυτοί/ές δηλαδή που αποτελούν τη συντριπτική πλειοψηφία της κοινότητας, θα ενημερωθούν εάν οι ίδιοι ανατρέξουν στις ιστοσελίδες του Ιδρύματος.</w:t>
      </w:r>
    </w:p>
    <w:p>
      <w:pPr>
        <w:pStyle w:val="Style19"/>
        <w:spacing w:lineRule="auto" w:line="240" w:before="0" w:after="0"/>
        <w:jc w:val="both"/>
        <w:rPr>
          <w:rFonts w:cs="Calibri" w:cstheme="minorHAnsi"/>
          <w:lang w:val="el-GR"/>
        </w:rPr>
      </w:pPr>
      <w:r>
        <w:rPr>
          <w:rFonts w:cs="Calibri" w:cstheme="minorHAnsi"/>
          <w:lang w:val="el-GR"/>
        </w:rPr>
      </w:r>
    </w:p>
    <w:p>
      <w:pPr>
        <w:pStyle w:val="Style19"/>
        <w:spacing w:lineRule="auto" w:line="240" w:before="0" w:after="0"/>
        <w:jc w:val="both"/>
        <w:rPr>
          <w:rFonts w:ascii="Times New Roman" w:hAnsi="Times New Roman"/>
          <w:color w:val="000000"/>
          <w:lang w:val="el-GR"/>
        </w:rPr>
      </w:pPr>
      <w:r>
        <w:rPr>
          <w:rFonts w:cs="Calibri" w:ascii="Times New Roman" w:hAnsi="Times New Roman" w:cstheme="minorHAnsi"/>
          <w:color w:val="000000"/>
          <w:lang w:val="el-GR"/>
        </w:rPr>
        <w:t>Ακολουθώντας λοιπόν αυτό το πνεύμα του Νόμου, δεν κρίνεται απαραίτητο να ενημερωθεί πλέον το οποιοδήποτε μέλος της Πανεπιστημιακής Κοινότητας για τη Δημόσια Πρόσκληση που έγινε στις 19 Αυγούστου για τα εξωτερικά μέλη του Συμβουλίου Διοίκησης του Πανεπιστημίου Αιγαίου, με καταληκτική ημερομηνία υποβολής υποψηφιοτήτων τις 25/10 (1). Έτσι ούτε τα μέλη ΔΕΠ ενημερώνονται επίσημα για αυτήν τη διαδικασία, αφού δεν ψηφίζουν για εξωτερικά μέλη του ΣΔ.</w:t>
      </w:r>
    </w:p>
    <w:p>
      <w:pPr>
        <w:pStyle w:val="Style19"/>
        <w:spacing w:lineRule="auto" w:line="240" w:before="0" w:after="0"/>
        <w:jc w:val="both"/>
        <w:rPr>
          <w:rFonts w:cs="Calibri" w:cstheme="minorHAnsi"/>
          <w:lang w:val="el-GR"/>
        </w:rPr>
      </w:pPr>
      <w:r>
        <w:rPr>
          <w:rFonts w:cs="Calibri" w:cstheme="minorHAnsi"/>
          <w:lang w:val="el-GR"/>
        </w:rPr>
      </w:r>
    </w:p>
    <w:p>
      <w:pPr>
        <w:pStyle w:val="Style19"/>
        <w:spacing w:lineRule="auto" w:line="240" w:before="0" w:after="0"/>
        <w:jc w:val="both"/>
        <w:rPr>
          <w:rFonts w:ascii="Times New Roman" w:hAnsi="Times New Roman"/>
          <w:color w:val="000000"/>
          <w:lang w:val="el-GR"/>
        </w:rPr>
      </w:pPr>
      <w:r>
        <w:rPr>
          <w:rFonts w:cs="Calibri" w:ascii="Times New Roman" w:hAnsi="Times New Roman" w:cstheme="minorHAnsi"/>
          <w:color w:val="000000"/>
          <w:lang w:val="el-GR"/>
        </w:rPr>
        <w:t>Η πρώτη αυτή ενέργεια προς την κατεύθυνση εφαρμογής του νέου Νόμου δείχνει ξεκάθαρα ότι πρόκειται για ένα αυταρχικό, αντιδημοκρατικό πλαίσιο, που αποκλείει εντελώς τη συντριπτική πλειοψηφία της κοινότητας, όχι μόνο από τη συμμετοχή στη λήψη αποφάσεων για θέματα που απασχολούν την ίδια την κοινότητα, αλλά ακόμη και από την απλή ενημέρωση. Σύσσωμη η πανεπιστημιακή κοινότητα, μέσα από αποφάσεις των ακαδημαϊκών αλλά και των συνδικαλιστικών οργάνων της, τάχθηκε ενάντια στο συγκεντρωτικό, αντιδημοκρατικό και εντελώς αδιαφανές μοντέλο διοίκησης που θεσμοθετεί ο νόμος αυτός. Χαρακτηριστική είναι η ομόφωνη απόφαση της ΠΟΣΔΕΠ, ότι με τον νόμο «ξεκινάει μια γκρίζα εποχή για τα Πανεπιστήμια με επικράτηση μηχανισμών, υπόγειες συνεννοήσεις συμφερόντων και ανταλλάγματα».</w:t>
      </w:r>
    </w:p>
    <w:p>
      <w:pPr>
        <w:pStyle w:val="Style19"/>
        <w:spacing w:lineRule="auto" w:line="240" w:before="0" w:after="0"/>
        <w:jc w:val="both"/>
        <w:rPr>
          <w:rFonts w:ascii="Times New Roman" w:hAnsi="Times New Roman" w:cs="Calibri" w:cstheme="minorHAnsi"/>
          <w:color w:val="000000"/>
          <w:lang w:val="el-GR"/>
        </w:rPr>
      </w:pPr>
      <w:r>
        <w:rPr>
          <w:rFonts w:cs="Calibri" w:cstheme="minorHAnsi" w:ascii="Times New Roman" w:hAnsi="Times New Roman"/>
          <w:color w:val="000000"/>
          <w:lang w:val="el-GR"/>
        </w:rPr>
      </w:r>
    </w:p>
    <w:p>
      <w:pPr>
        <w:pStyle w:val="Style19"/>
        <w:spacing w:lineRule="auto" w:line="240" w:before="0" w:after="0"/>
        <w:jc w:val="both"/>
        <w:rPr>
          <w:rFonts w:ascii="Times New Roman" w:hAnsi="Times New Roman"/>
          <w:color w:val="000000"/>
          <w:lang w:val="el-GR"/>
        </w:rPr>
      </w:pPr>
      <w:r>
        <w:rPr>
          <w:rFonts w:cs="Calibri" w:ascii="Times New Roman" w:hAnsi="Times New Roman" w:cstheme="minorHAnsi"/>
          <w:color w:val="000000"/>
          <w:lang w:val="el-GR"/>
        </w:rPr>
        <w:t xml:space="preserve">Σήμερα καλούμαστε λοιπόν να συμμετάσχουμε είτε ως υποψήφιοι/ες είτε ως ψηφοφόροι στην εκλογή ενός ολιγομελούς οργάνου, που θα λειτουργεί με πλήρη αδιαφάνεια, χωρίς την παραμικρή λογοδοσία και έλεγχο από την κοινότητα. Καλούμαστε δηλαδή να συμμετάσχουμε στην εκλογή κάποιων μελών ΔΕΠ, στα οποία θα αναθέσουμε για τα επόμενα 4 χρόνια, στην κυριολεξία εν λευκώ, να χειριστούν όλα τα θέματα (οικονομικά, διοικητικά αλλά και πολλά ακαδημαϊκά) που αφορούν στα Τμήματά μας και στο Ίδρυμα, και το κυριότερο να εφαρμόσουν και να επιταχύνουν τις βασικές κατευθύνσεις του Νόμου Κεραμέως. </w:t>
      </w:r>
    </w:p>
    <w:p>
      <w:pPr>
        <w:pStyle w:val="Style19"/>
        <w:spacing w:lineRule="auto" w:line="240" w:before="0" w:after="0"/>
        <w:jc w:val="both"/>
        <w:rPr>
          <w:rFonts w:ascii="Times New Roman" w:hAnsi="Times New Roman" w:cs="Calibri" w:cstheme="minorHAnsi"/>
          <w:color w:val="000000"/>
          <w:lang w:val="el-GR"/>
        </w:rPr>
      </w:pPr>
      <w:r>
        <w:rPr>
          <w:rFonts w:cs="Calibri" w:cstheme="minorHAnsi" w:ascii="Times New Roman" w:hAnsi="Times New Roman"/>
          <w:color w:val="000000"/>
          <w:lang w:val="el-GR"/>
        </w:rPr>
      </w:r>
    </w:p>
    <w:p>
      <w:pPr>
        <w:pStyle w:val="Style19"/>
        <w:spacing w:lineRule="auto" w:line="240" w:before="0" w:after="0"/>
        <w:jc w:val="both"/>
        <w:rPr>
          <w:rFonts w:ascii="Times New Roman" w:hAnsi="Times New Roman"/>
          <w:color w:val="000000"/>
          <w:lang w:val="el-GR"/>
        </w:rPr>
      </w:pPr>
      <w:r>
        <w:rPr>
          <w:rFonts w:cs="Calibri" w:ascii="Times New Roman" w:hAnsi="Times New Roman" w:cstheme="minorHAnsi"/>
          <w:color w:val="000000"/>
          <w:lang w:val="el-GR"/>
        </w:rPr>
        <w:t xml:space="preserve">Το επιχείρημα να συμμετάσχουμε στις εκλογές ώστε να αναδειχθούν μέλη που θα «ελαχιστοποιήσουν» τις συνέπειες του αντιδραστικού αυτού Νόμου είναι αντιφατικό και πολιτικά ασυνεπές. Γιατί όποιος/α θεωρεί το Νόμο καταστροφικό για το πανεπιστήμιο, δεν επιλέγει την υποψηφιότητα σε κεντρικές θέσεις διοίκησης του ιδρύματος, μέσα από τις οποίες θα πρέπει να εφαρμόσει όλες τις πτυχές του Νόμου. Και διότι όποιος/α θεωρεί το Νόμο αντιεκπαιδευτικό και αντιτάχθηκε στην ψήφισή του, δεν σπεύδει να τον εφαρμόσει μέσα από τη συμμετοχή του σε μια αυταρχική και αντιδημοκρατική διοικητική δομή. Επιπλέον, αυτό το επιχείρημα δεν λαμβάνει υπόψη το εκλογικό σύστημα που θα εφαρμοστεί, μέσω της ταξινομικής ψήφου, σύστημα που δεν επιτρέπει την αλλαγή συσχετισμών στο εσωτερικό του Συμβουλίου. </w:t>
      </w:r>
    </w:p>
    <w:p>
      <w:pPr>
        <w:pStyle w:val="Style19"/>
        <w:spacing w:lineRule="auto" w:line="240" w:before="0" w:after="0"/>
        <w:jc w:val="both"/>
        <w:rPr>
          <w:rFonts w:ascii="Times New Roman" w:hAnsi="Times New Roman" w:cs="Calibri" w:cstheme="minorHAnsi"/>
          <w:color w:val="000000"/>
          <w:lang w:val="el-GR"/>
        </w:rPr>
      </w:pPr>
      <w:r>
        <w:rPr>
          <w:rFonts w:cs="Calibri" w:cstheme="minorHAnsi" w:ascii="Times New Roman" w:hAnsi="Times New Roman"/>
          <w:color w:val="000000"/>
          <w:lang w:val="el-GR"/>
        </w:rPr>
      </w:r>
    </w:p>
    <w:p>
      <w:pPr>
        <w:pStyle w:val="Style19"/>
        <w:spacing w:lineRule="auto" w:line="240" w:before="0" w:after="0"/>
        <w:jc w:val="both"/>
        <w:rPr>
          <w:rFonts w:ascii="Times New Roman" w:hAnsi="Times New Roman"/>
          <w:color w:val="000000"/>
          <w:lang w:val="el-GR"/>
        </w:rPr>
      </w:pPr>
      <w:r>
        <w:rPr>
          <w:rFonts w:cs="Calibri" w:ascii="Times New Roman" w:hAnsi="Times New Roman" w:cstheme="minorHAnsi"/>
          <w:color w:val="000000"/>
          <w:lang w:val="el-GR"/>
        </w:rPr>
        <w:t xml:space="preserve">Η εκλογή των Συμβουλίων Διοίκησης αποτελεί κομβική πτυχή του νέου Νόμου. Η εφαρμογή της θα τον νομιμοποιήσει στη συνείδηση όλης της κοινότητας και παράλληλα θα οδηγήσει στο αυτονόητο συμπέρασμα ότι ο Νόμος έχει την αποδοχή της συντριπτικής πλειοψηφίας των μελών ΔΕΠ. Το παρελθόν δείχνει τον δρόμο: η ενεργή αντίθεση στα Συμβούλια Ιδρύματος του Νόμου Διαμαντοπούλου από τη μεγάλη πλειοψηφία της Πανεπιστημιακής Κοινότητας συνέβαλε αρχικά στην πλήρη απονομιμοποίησή τους και έπειτα στην κατάργησή τους. </w:t>
      </w:r>
    </w:p>
    <w:p>
      <w:pPr>
        <w:pStyle w:val="Style19"/>
        <w:spacing w:lineRule="auto" w:line="240" w:before="0" w:after="0"/>
        <w:jc w:val="both"/>
        <w:rPr>
          <w:rFonts w:ascii="Times New Roman" w:hAnsi="Times New Roman" w:cs="Calibri" w:cstheme="minorHAnsi"/>
          <w:color w:val="000000"/>
          <w:lang w:val="el-GR"/>
        </w:rPr>
      </w:pPr>
      <w:r>
        <w:rPr>
          <w:rFonts w:cs="Calibri" w:cstheme="minorHAnsi" w:ascii="Times New Roman" w:hAnsi="Times New Roman"/>
          <w:color w:val="000000"/>
          <w:lang w:val="el-GR"/>
        </w:rPr>
      </w:r>
    </w:p>
    <w:p>
      <w:pPr>
        <w:pStyle w:val="Style19"/>
        <w:spacing w:lineRule="auto" w:line="240" w:before="0" w:after="0"/>
        <w:jc w:val="both"/>
        <w:rPr>
          <w:lang w:val="el-GR"/>
        </w:rPr>
      </w:pPr>
      <w:r>
        <w:rPr>
          <w:rFonts w:cs="Calibri" w:ascii="Times New Roman" w:hAnsi="Times New Roman" w:cstheme="minorHAnsi"/>
          <w:color w:val="000000"/>
          <w:lang w:val="el-GR"/>
        </w:rPr>
        <w:t>Ως πανεπιστημιακοί δάσκαλοι παραμένουμε συνεπείς στις αποφάσεις και τις αρχές μας για μια δημόσια</w:t>
      </w:r>
      <w:r>
        <w:rPr>
          <w:rStyle w:val="Style15"/>
          <w:rFonts w:eastAsia="Calibri" w:cs="Calibri" w:ascii="Times New Roman" w:hAnsi="Times New Roman" w:cstheme="minorHAnsi"/>
          <w:color w:val="000000"/>
          <w:lang w:val="el-GR" w:eastAsia="en-US"/>
        </w:rPr>
        <w:t xml:space="preserve"> και δωρεάν τριτοβάθμια εκπαίδευση. Δηλώνουμε ότι δεν θα γίνουμε συμμέτοχοι στην εφαρμογή ενός Νόμου που έχει καταστροφικές συνέπειες για τον δημόσιο χαρακτήρα των πανεπιστημίων, αλλά και για την ίδια την ύπαρξη και λειτουργία του δικού μας πανεπιστημίου. </w:t>
      </w:r>
    </w:p>
    <w:p>
      <w:pPr>
        <w:pStyle w:val="Style19"/>
        <w:spacing w:lineRule="auto" w:line="240" w:before="0" w:after="0"/>
        <w:jc w:val="both"/>
        <w:rPr>
          <w:rStyle w:val="Style15"/>
          <w:rFonts w:ascii="Times New Roman" w:hAnsi="Times New Roman"/>
          <w:color w:val="000000"/>
          <w:lang w:val="el-GR"/>
        </w:rPr>
      </w:pPr>
      <w:r>
        <w:rPr>
          <w:rFonts w:ascii="Times New Roman" w:hAnsi="Times New Roman"/>
          <w:color w:val="000000"/>
          <w:lang w:val="el-GR"/>
        </w:rPr>
      </w:r>
    </w:p>
    <w:p>
      <w:pPr>
        <w:pStyle w:val="Style19"/>
        <w:spacing w:lineRule="auto" w:line="240" w:before="0" w:after="0"/>
        <w:jc w:val="both"/>
        <w:rPr>
          <w:lang w:val="el-GR"/>
        </w:rPr>
      </w:pPr>
      <w:r>
        <w:rPr>
          <w:rFonts w:cs="Calibri" w:ascii="Times New Roman" w:hAnsi="Times New Roman" w:cstheme="minorHAnsi"/>
          <w:color w:val="000000"/>
          <w:lang w:val="el-GR"/>
        </w:rPr>
        <w:t xml:space="preserve">Δεν νομιμοποιούμε τις νέες ρυθμίσεις με τη συμμετοχή μας στις εκλογές είτε ως υποψήφιοι/ες είτε ως ψηφοφόροι. </w:t>
      </w:r>
      <w:r>
        <w:rPr>
          <w:rStyle w:val="Style15"/>
          <w:rFonts w:eastAsia="Calibri" w:cs="Calibri" w:ascii="Times New Roman" w:hAnsi="Times New Roman" w:cstheme="minorHAnsi"/>
          <w:color w:val="000000"/>
          <w:lang w:val="el-GR" w:eastAsia="en-US"/>
        </w:rPr>
        <w:t>Δηλώνουμε ότι θα συνεχίσουμε τον αγώνα μας με τις δυνάμεις που διαθέτουμε σε συντονισμό με τους Συλλόγους Διοικητικών και ΕΔΙΠ του Πανεπιστημίου Αιγαίου, με Συλλόγους μελών ΔΕΠ άλλων Πανεπιστημίων και με φοιτητικούς συλλόγους, για να απορρίψουμε με μαζικούς και αγωνιστικούς όρους τον Νόμο Κεραμέως στο σύνολό του, για τη μη εφαρμογή και την κατάργησή του.</w:t>
      </w:r>
    </w:p>
    <w:p>
      <w:pPr>
        <w:pStyle w:val="Style19"/>
        <w:spacing w:lineRule="auto" w:line="240" w:before="0" w:after="0"/>
        <w:jc w:val="both"/>
        <w:rPr>
          <w:rStyle w:val="Style15"/>
          <w:rFonts w:ascii="Times New Roman" w:hAnsi="Times New Roman" w:eastAsia="Calibri" w:cs="Calibri" w:cstheme="minorHAnsi"/>
          <w:color w:val="000000"/>
          <w:lang w:val="el-GR" w:eastAsia="en-US"/>
        </w:rPr>
      </w:pPr>
      <w:r>
        <w:rPr>
          <w:rFonts w:eastAsia="Calibri" w:cs="Calibri" w:cstheme="minorHAnsi" w:ascii="Times New Roman" w:hAnsi="Times New Roman"/>
          <w:color w:val="000000"/>
          <w:lang w:val="el-GR" w:eastAsia="en-US"/>
        </w:rPr>
      </w:r>
    </w:p>
    <w:p>
      <w:pPr>
        <w:pStyle w:val="Style19"/>
        <w:spacing w:lineRule="auto" w:line="240" w:before="0" w:after="0"/>
        <w:jc w:val="both"/>
        <w:rPr/>
      </w:pPr>
      <w:r>
        <w:rPr>
          <w:rFonts w:ascii="Times New Roman" w:hAnsi="Times New Roman"/>
          <w:sz w:val="22"/>
          <w:szCs w:val="22"/>
          <w:lang w:val="el-GR"/>
        </w:rPr>
        <w:t xml:space="preserve">(1) </w:t>
      </w:r>
      <w:r>
        <w:rPr>
          <w:rStyle w:val="Style15"/>
          <w:rFonts w:eastAsia="Calibri" w:cs="Calibri" w:ascii="Times New Roman" w:hAnsi="Times New Roman" w:cstheme="minorHAnsi"/>
          <w:color w:val="000000"/>
          <w:sz w:val="22"/>
          <w:szCs w:val="22"/>
          <w:lang w:val="el-GR" w:eastAsia="en-US"/>
        </w:rPr>
        <w:t>https://www.aegean.gr/announcement/διεθνής-δημόσια-πρόσκληση-για-την-ανάδειξη-εξωτερικών-μελών-του-συμβουλίου-διοίκησης</w:t>
      </w:r>
    </w:p>
    <w:sectPr>
      <w:type w:val="nextPage"/>
      <w:pgSz w:w="12240" w:h="15840"/>
      <w:pgMar w:left="1361" w:right="1361" w:header="0" w:top="907" w:footer="0" w:bottom="90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auto"/>
    <w:pitch w:val="default"/>
  </w:font>
  <w:font w:name="Liberation Mono">
    <w:altName w:val="Courier New"/>
    <w:charset w:val="01"/>
    <w:family w:val="auto"/>
    <w:pitch w:val="default"/>
  </w:font>
  <w:font w:name="Calibri:onum=1">
    <w:charset w:val="01"/>
    <w:family w:val="auto"/>
    <w:pitch w:val="default"/>
  </w:font>
  <w:font w:name="OpenSymbol">
    <w:altName w:val="Arial Unicode MS"/>
    <w:charset w:val="01"/>
    <w:family w:val="auto"/>
    <w:pitch w:val="default"/>
  </w:font>
  <w:font w:name="Times New Roman">
    <w:charset w:val="01"/>
    <w:family w:val="auto"/>
    <w:pitch w:val="default"/>
  </w:font>
  <w:font w:name="Calibri">
    <w:charset w:val="01"/>
    <w:family w:val="auto"/>
    <w:pitch w:val="default"/>
  </w:font>
  <w:font w:name="Liberation Sans">
    <w:altName w:val="Arial"/>
    <w:charset w:val="01"/>
    <w:family w:val="auto"/>
    <w:pitch w:val="default"/>
  </w:font>
</w:fonts>
</file>

<file path=word/settings.xml><?xml version="1.0" encoding="utf-8"?>
<w:settings xmlns:w="http://schemas.openxmlformats.org/wordprocessingml/2006/main">
  <w:zoom w:percent="160"/>
  <w:defaultTabStop w:val="709"/>
  <w:autoHyphenation w:val="false"/>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Cs w:val="24"/>
        <w:lang w:val="en-US"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true"/>
      <w:bidi w:val="0"/>
      <w:jc w:val="left"/>
    </w:pPr>
    <w:rPr>
      <w:rFonts w:ascii="Liberation Serif" w:hAnsi="Liberation Serif" w:eastAsia="Noto Serif CJK SC" w:cs="Lohit Devanagari"/>
      <w:color w:val="auto"/>
      <w:kern w:val="2"/>
      <w:sz w:val="24"/>
      <w:szCs w:val="24"/>
      <w:lang w:val="en-US" w:eastAsia="zh-CN" w:bidi="hi-IN"/>
    </w:rPr>
  </w:style>
  <w:style w:type="character" w:styleId="DefaultParagraphFont" w:default="1">
    <w:name w:val="Default Paragraph Font"/>
    <w:uiPriority w:val="1"/>
    <w:semiHidden/>
    <w:unhideWhenUsed/>
    <w:qFormat/>
    <w:rPr/>
  </w:style>
  <w:style w:type="character" w:styleId="IntenseEmphasis">
    <w:name w:val="Intense Emphasis"/>
    <w:qFormat/>
    <w:rPr>
      <w:b/>
      <w:bCs/>
    </w:rPr>
  </w:style>
  <w:style w:type="character" w:styleId="Style14">
    <w:name w:val="Έμφαση"/>
    <w:qFormat/>
    <w:rPr>
      <w:i/>
      <w:iCs/>
    </w:rPr>
  </w:style>
  <w:style w:type="character" w:styleId="Style15" w:customStyle="1">
    <w:name w:val="Τηλέτυπο"/>
    <w:qFormat/>
    <w:rPr>
      <w:rFonts w:ascii="Liberation Mono" w:hAnsi="Liberation Mono" w:eastAsia="Liberation Mono" w:cs="Liberation Mono"/>
    </w:rPr>
  </w:style>
  <w:style w:type="character" w:styleId="ListLabel117" w:customStyle="1">
    <w:name w:val="ListLabel 117"/>
    <w:qFormat/>
    <w:rPr>
      <w:rFonts w:cs="OpenSymbol"/>
    </w:rPr>
  </w:style>
  <w:style w:type="character" w:styleId="ListLabel118" w:customStyle="1">
    <w:name w:val="ListLabel 118"/>
    <w:qFormat/>
    <w:rPr>
      <w:rFonts w:cs="OpenSymbol"/>
    </w:rPr>
  </w:style>
  <w:style w:type="character" w:styleId="ListLabel119" w:customStyle="1">
    <w:name w:val="ListLabel 119"/>
    <w:qFormat/>
    <w:rPr>
      <w:rFonts w:cs="OpenSymbol"/>
    </w:rPr>
  </w:style>
  <w:style w:type="character" w:styleId="ListLabel120" w:customStyle="1">
    <w:name w:val="ListLabel 120"/>
    <w:qFormat/>
    <w:rPr>
      <w:rFonts w:cs="OpenSymbol"/>
    </w:rPr>
  </w:style>
  <w:style w:type="character" w:styleId="ListLabel121" w:customStyle="1">
    <w:name w:val="ListLabel 121"/>
    <w:qFormat/>
    <w:rPr>
      <w:rFonts w:cs="OpenSymbol"/>
    </w:rPr>
  </w:style>
  <w:style w:type="character" w:styleId="ListLabel122" w:customStyle="1">
    <w:name w:val="ListLabel 122"/>
    <w:qFormat/>
    <w:rPr>
      <w:rFonts w:cs="OpenSymbol"/>
    </w:rPr>
  </w:style>
  <w:style w:type="character" w:styleId="ListLabel123" w:customStyle="1">
    <w:name w:val="ListLabel 123"/>
    <w:qFormat/>
    <w:rPr>
      <w:rFonts w:cs="OpenSymbol"/>
    </w:rPr>
  </w:style>
  <w:style w:type="character" w:styleId="ListLabel124" w:customStyle="1">
    <w:name w:val="ListLabel 124"/>
    <w:qFormat/>
    <w:rPr>
      <w:rFonts w:cs="OpenSymbol"/>
    </w:rPr>
  </w:style>
  <w:style w:type="character" w:styleId="ListLabel125" w:customStyle="1">
    <w:name w:val="ListLabel 125"/>
    <w:qFormat/>
    <w:rPr>
      <w:rFonts w:cs="OpenSymbol"/>
    </w:rPr>
  </w:style>
  <w:style w:type="character" w:styleId="ListLabel126" w:customStyle="1">
    <w:name w:val="ListLabel 126"/>
    <w:qFormat/>
    <w:rPr>
      <w:rFonts w:ascii="Calibri:onum=1" w:hAnsi="Calibri:onum=1" w:cs="OpenSymbol"/>
      <w:sz w:val="24"/>
    </w:rPr>
  </w:style>
  <w:style w:type="character" w:styleId="ListLabel127" w:customStyle="1">
    <w:name w:val="ListLabel 127"/>
    <w:qFormat/>
    <w:rPr>
      <w:rFonts w:cs="OpenSymbol"/>
    </w:rPr>
  </w:style>
  <w:style w:type="character" w:styleId="ListLabel128" w:customStyle="1">
    <w:name w:val="ListLabel 128"/>
    <w:qFormat/>
    <w:rPr>
      <w:rFonts w:cs="OpenSymbol"/>
    </w:rPr>
  </w:style>
  <w:style w:type="character" w:styleId="ListLabel129" w:customStyle="1">
    <w:name w:val="ListLabel 129"/>
    <w:qFormat/>
    <w:rPr>
      <w:rFonts w:cs="OpenSymbol"/>
    </w:rPr>
  </w:style>
  <w:style w:type="character" w:styleId="ListLabel130" w:customStyle="1">
    <w:name w:val="ListLabel 130"/>
    <w:qFormat/>
    <w:rPr>
      <w:rFonts w:cs="OpenSymbol"/>
    </w:rPr>
  </w:style>
  <w:style w:type="character" w:styleId="ListLabel131" w:customStyle="1">
    <w:name w:val="ListLabel 131"/>
    <w:qFormat/>
    <w:rPr>
      <w:rFonts w:cs="OpenSymbol"/>
    </w:rPr>
  </w:style>
  <w:style w:type="character" w:styleId="ListLabel132" w:customStyle="1">
    <w:name w:val="ListLabel 132"/>
    <w:qFormat/>
    <w:rPr>
      <w:rFonts w:cs="OpenSymbol"/>
    </w:rPr>
  </w:style>
  <w:style w:type="character" w:styleId="ListLabel133" w:customStyle="1">
    <w:name w:val="ListLabel 133"/>
    <w:qFormat/>
    <w:rPr>
      <w:rFonts w:cs="OpenSymbol"/>
    </w:rPr>
  </w:style>
  <w:style w:type="character" w:styleId="ListLabel134" w:customStyle="1">
    <w:name w:val="ListLabel 134"/>
    <w:qFormat/>
    <w:rPr>
      <w:rFonts w:cs="OpenSymbol"/>
    </w:rPr>
  </w:style>
  <w:style w:type="character" w:styleId="Style16" w:customStyle="1">
    <w:name w:val="Κουκκίδες"/>
    <w:qFormat/>
    <w:rPr>
      <w:rFonts w:ascii="OpenSymbol" w:hAnsi="OpenSymbol" w:eastAsia="OpenSymbol" w:cs="OpenSymbol"/>
    </w:rPr>
  </w:style>
  <w:style w:type="character" w:styleId="WWCharLFO1LVL1" w:customStyle="1">
    <w:name w:val="WW_CharLFO1LVL1"/>
    <w:qFormat/>
    <w:rPr>
      <w:rFonts w:ascii="OpenSymbol" w:hAnsi="OpenSymbol" w:eastAsia="OpenSymbol" w:cs="OpenSymbol"/>
      <w:color w:val="000000"/>
    </w:rPr>
  </w:style>
  <w:style w:type="character" w:styleId="WWCharLFO1LVL2" w:customStyle="1">
    <w:name w:val="WW_CharLFO1LVL2"/>
    <w:qFormat/>
    <w:rPr>
      <w:rFonts w:ascii="OpenSymbol" w:hAnsi="OpenSymbol" w:eastAsia="OpenSymbol" w:cs="OpenSymbol"/>
      <w:color w:val="000000"/>
    </w:rPr>
  </w:style>
  <w:style w:type="character" w:styleId="WWCharLFO1LVL3" w:customStyle="1">
    <w:name w:val="WW_CharLFO1LVL3"/>
    <w:qFormat/>
    <w:rPr>
      <w:rFonts w:ascii="OpenSymbol" w:hAnsi="OpenSymbol" w:eastAsia="OpenSymbol" w:cs="OpenSymbol"/>
      <w:color w:val="000000"/>
    </w:rPr>
  </w:style>
  <w:style w:type="character" w:styleId="WWCharLFO1LVL4" w:customStyle="1">
    <w:name w:val="WW_CharLFO1LVL4"/>
    <w:qFormat/>
    <w:rPr>
      <w:rFonts w:ascii="OpenSymbol" w:hAnsi="OpenSymbol" w:eastAsia="OpenSymbol" w:cs="OpenSymbol"/>
      <w:color w:val="000000"/>
    </w:rPr>
  </w:style>
  <w:style w:type="character" w:styleId="WWCharLFO1LVL5" w:customStyle="1">
    <w:name w:val="WW_CharLFO1LVL5"/>
    <w:qFormat/>
    <w:rPr>
      <w:rFonts w:ascii="OpenSymbol" w:hAnsi="OpenSymbol" w:eastAsia="OpenSymbol" w:cs="OpenSymbol"/>
      <w:color w:val="000000"/>
    </w:rPr>
  </w:style>
  <w:style w:type="character" w:styleId="WWCharLFO1LVL6" w:customStyle="1">
    <w:name w:val="WW_CharLFO1LVL6"/>
    <w:qFormat/>
    <w:rPr>
      <w:rFonts w:ascii="OpenSymbol" w:hAnsi="OpenSymbol" w:eastAsia="OpenSymbol" w:cs="OpenSymbol"/>
      <w:color w:val="000000"/>
    </w:rPr>
  </w:style>
  <w:style w:type="character" w:styleId="WWCharLFO1LVL7" w:customStyle="1">
    <w:name w:val="WW_CharLFO1LVL7"/>
    <w:qFormat/>
    <w:rPr>
      <w:rFonts w:ascii="OpenSymbol" w:hAnsi="OpenSymbol" w:eastAsia="OpenSymbol" w:cs="OpenSymbol"/>
      <w:color w:val="000000"/>
    </w:rPr>
  </w:style>
  <w:style w:type="character" w:styleId="WWCharLFO1LVL8" w:customStyle="1">
    <w:name w:val="WW_CharLFO1LVL8"/>
    <w:qFormat/>
    <w:rPr>
      <w:rFonts w:ascii="OpenSymbol" w:hAnsi="OpenSymbol" w:eastAsia="OpenSymbol" w:cs="OpenSymbol"/>
      <w:color w:val="000000"/>
    </w:rPr>
  </w:style>
  <w:style w:type="character" w:styleId="WWCharLFO1LVL9" w:customStyle="1">
    <w:name w:val="WW_CharLFO1LVL9"/>
    <w:qFormat/>
    <w:rPr>
      <w:rFonts w:ascii="OpenSymbol" w:hAnsi="OpenSymbol" w:eastAsia="OpenSymbol" w:cs="OpenSymbol"/>
      <w:color w:val="000000"/>
    </w:rPr>
  </w:style>
  <w:style w:type="character" w:styleId="ListLabel135" w:customStyle="1">
    <w:name w:val="ListLabel 135"/>
    <w:qFormat/>
    <w:rPr>
      <w:rFonts w:ascii="Times New Roman" w:hAnsi="Times New Roman" w:cs="OpenSymbol"/>
      <w:sz w:val="24"/>
    </w:rPr>
  </w:style>
  <w:style w:type="character" w:styleId="ListLabel136" w:customStyle="1">
    <w:name w:val="ListLabel 136"/>
    <w:qFormat/>
    <w:rPr>
      <w:rFonts w:cs="OpenSymbol"/>
    </w:rPr>
  </w:style>
  <w:style w:type="character" w:styleId="ListLabel137" w:customStyle="1">
    <w:name w:val="ListLabel 137"/>
    <w:qFormat/>
    <w:rPr>
      <w:rFonts w:cs="OpenSymbol"/>
    </w:rPr>
  </w:style>
  <w:style w:type="character" w:styleId="ListLabel138" w:customStyle="1">
    <w:name w:val="ListLabel 138"/>
    <w:qFormat/>
    <w:rPr>
      <w:rFonts w:cs="OpenSymbol"/>
    </w:rPr>
  </w:style>
  <w:style w:type="character" w:styleId="ListLabel139" w:customStyle="1">
    <w:name w:val="ListLabel 139"/>
    <w:qFormat/>
    <w:rPr>
      <w:rFonts w:cs="OpenSymbol"/>
    </w:rPr>
  </w:style>
  <w:style w:type="character" w:styleId="ListLabel140" w:customStyle="1">
    <w:name w:val="ListLabel 140"/>
    <w:qFormat/>
    <w:rPr>
      <w:rFonts w:cs="OpenSymbol"/>
    </w:rPr>
  </w:style>
  <w:style w:type="character" w:styleId="ListLabel141" w:customStyle="1">
    <w:name w:val="ListLabel 141"/>
    <w:qFormat/>
    <w:rPr>
      <w:rFonts w:cs="OpenSymbol"/>
    </w:rPr>
  </w:style>
  <w:style w:type="character" w:styleId="ListLabel142" w:customStyle="1">
    <w:name w:val="ListLabel 142"/>
    <w:qFormat/>
    <w:rPr>
      <w:rFonts w:cs="OpenSymbol"/>
    </w:rPr>
  </w:style>
  <w:style w:type="character" w:styleId="ListLabel143" w:customStyle="1">
    <w:name w:val="ListLabel 143"/>
    <w:qFormat/>
    <w:rPr>
      <w:rFonts w:cs="OpenSymbol"/>
    </w:rPr>
  </w:style>
  <w:style w:type="character" w:styleId="ListLabel144" w:customStyle="1">
    <w:name w:val="ListLabel 144"/>
    <w:qFormat/>
    <w:rPr>
      <w:rFonts w:ascii="Times New Roman" w:hAnsi="Times New Roman" w:cs="OpenSymbol"/>
      <w:sz w:val="24"/>
    </w:rPr>
  </w:style>
  <w:style w:type="character" w:styleId="ListLabel145" w:customStyle="1">
    <w:name w:val="ListLabel 145"/>
    <w:qFormat/>
    <w:rPr>
      <w:rFonts w:cs="OpenSymbol"/>
    </w:rPr>
  </w:style>
  <w:style w:type="character" w:styleId="ListLabel146" w:customStyle="1">
    <w:name w:val="ListLabel 146"/>
    <w:qFormat/>
    <w:rPr>
      <w:rFonts w:cs="OpenSymbol"/>
    </w:rPr>
  </w:style>
  <w:style w:type="character" w:styleId="ListLabel147" w:customStyle="1">
    <w:name w:val="ListLabel 147"/>
    <w:qFormat/>
    <w:rPr>
      <w:rFonts w:cs="OpenSymbol"/>
    </w:rPr>
  </w:style>
  <w:style w:type="character" w:styleId="ListLabel148" w:customStyle="1">
    <w:name w:val="ListLabel 148"/>
    <w:qFormat/>
    <w:rPr>
      <w:rFonts w:cs="OpenSymbol"/>
    </w:rPr>
  </w:style>
  <w:style w:type="character" w:styleId="ListLabel149" w:customStyle="1">
    <w:name w:val="ListLabel 149"/>
    <w:qFormat/>
    <w:rPr>
      <w:rFonts w:cs="OpenSymbol"/>
    </w:rPr>
  </w:style>
  <w:style w:type="character" w:styleId="ListLabel150" w:customStyle="1">
    <w:name w:val="ListLabel 150"/>
    <w:qFormat/>
    <w:rPr>
      <w:rFonts w:cs="OpenSymbol"/>
    </w:rPr>
  </w:style>
  <w:style w:type="character" w:styleId="ListLabel151" w:customStyle="1">
    <w:name w:val="ListLabel 151"/>
    <w:qFormat/>
    <w:rPr>
      <w:rFonts w:cs="OpenSymbol"/>
    </w:rPr>
  </w:style>
  <w:style w:type="character" w:styleId="ListLabel152" w:customStyle="1">
    <w:name w:val="ListLabel 152"/>
    <w:qFormat/>
    <w:rPr>
      <w:rFonts w:cs="OpenSymbol"/>
    </w:rPr>
  </w:style>
  <w:style w:type="character" w:styleId="ListLabel153" w:customStyle="1">
    <w:name w:val="ListLabel 153"/>
    <w:qFormat/>
    <w:rPr>
      <w:rFonts w:ascii="Calibri" w:hAnsi="Calibri" w:cs="OpenSymbol"/>
      <w:b/>
      <w:sz w:val="24"/>
    </w:rPr>
  </w:style>
  <w:style w:type="character" w:styleId="ListLabel154" w:customStyle="1">
    <w:name w:val="ListLabel 154"/>
    <w:qFormat/>
    <w:rPr>
      <w:rFonts w:cs="OpenSymbol"/>
    </w:rPr>
  </w:style>
  <w:style w:type="character" w:styleId="ListLabel155" w:customStyle="1">
    <w:name w:val="ListLabel 155"/>
    <w:qFormat/>
    <w:rPr>
      <w:rFonts w:cs="OpenSymbol"/>
    </w:rPr>
  </w:style>
  <w:style w:type="character" w:styleId="ListLabel156" w:customStyle="1">
    <w:name w:val="ListLabel 156"/>
    <w:qFormat/>
    <w:rPr>
      <w:rFonts w:cs="OpenSymbol"/>
    </w:rPr>
  </w:style>
  <w:style w:type="character" w:styleId="ListLabel157" w:customStyle="1">
    <w:name w:val="ListLabel 157"/>
    <w:qFormat/>
    <w:rPr>
      <w:rFonts w:cs="OpenSymbol"/>
    </w:rPr>
  </w:style>
  <w:style w:type="character" w:styleId="ListLabel158" w:customStyle="1">
    <w:name w:val="ListLabel 158"/>
    <w:qFormat/>
    <w:rPr>
      <w:rFonts w:cs="OpenSymbol"/>
    </w:rPr>
  </w:style>
  <w:style w:type="character" w:styleId="ListLabel159" w:customStyle="1">
    <w:name w:val="ListLabel 159"/>
    <w:qFormat/>
    <w:rPr>
      <w:rFonts w:cs="OpenSymbol"/>
    </w:rPr>
  </w:style>
  <w:style w:type="character" w:styleId="ListLabel160" w:customStyle="1">
    <w:name w:val="ListLabel 160"/>
    <w:qFormat/>
    <w:rPr>
      <w:rFonts w:cs="OpenSymbol"/>
    </w:rPr>
  </w:style>
  <w:style w:type="character" w:styleId="ListLabel161" w:customStyle="1">
    <w:name w:val="ListLabel 161"/>
    <w:qFormat/>
    <w:rPr>
      <w:rFonts w:cs="OpenSymbol"/>
    </w:rPr>
  </w:style>
  <w:style w:type="character" w:styleId="ListLabel162" w:customStyle="1">
    <w:name w:val="ListLabel 162"/>
    <w:qFormat/>
    <w:rPr>
      <w:rFonts w:ascii="Times New Roman" w:hAnsi="Times New Roman" w:cs="OpenSymbol"/>
      <w:b/>
      <w:sz w:val="24"/>
    </w:rPr>
  </w:style>
  <w:style w:type="character" w:styleId="ListLabel163" w:customStyle="1">
    <w:name w:val="ListLabel 163"/>
    <w:qFormat/>
    <w:rPr>
      <w:rFonts w:cs="OpenSymbol"/>
    </w:rPr>
  </w:style>
  <w:style w:type="character" w:styleId="ListLabel164" w:customStyle="1">
    <w:name w:val="ListLabel 164"/>
    <w:qFormat/>
    <w:rPr>
      <w:rFonts w:cs="OpenSymbol"/>
    </w:rPr>
  </w:style>
  <w:style w:type="character" w:styleId="ListLabel165" w:customStyle="1">
    <w:name w:val="ListLabel 165"/>
    <w:qFormat/>
    <w:rPr>
      <w:rFonts w:cs="OpenSymbol"/>
    </w:rPr>
  </w:style>
  <w:style w:type="character" w:styleId="ListLabel166" w:customStyle="1">
    <w:name w:val="ListLabel 166"/>
    <w:qFormat/>
    <w:rPr>
      <w:rFonts w:cs="OpenSymbol"/>
    </w:rPr>
  </w:style>
  <w:style w:type="character" w:styleId="ListLabel167" w:customStyle="1">
    <w:name w:val="ListLabel 167"/>
    <w:qFormat/>
    <w:rPr>
      <w:rFonts w:cs="OpenSymbol"/>
    </w:rPr>
  </w:style>
  <w:style w:type="character" w:styleId="ListLabel168" w:customStyle="1">
    <w:name w:val="ListLabel 168"/>
    <w:qFormat/>
    <w:rPr>
      <w:rFonts w:cs="OpenSymbol"/>
    </w:rPr>
  </w:style>
  <w:style w:type="character" w:styleId="ListLabel169" w:customStyle="1">
    <w:name w:val="ListLabel 169"/>
    <w:qFormat/>
    <w:rPr>
      <w:rFonts w:cs="OpenSymbol"/>
    </w:rPr>
  </w:style>
  <w:style w:type="character" w:styleId="ListLabel170" w:customStyle="1">
    <w:name w:val="ListLabel 170"/>
    <w:qFormat/>
    <w:rPr>
      <w:rFonts w:cs="OpenSymbol"/>
    </w:rPr>
  </w:style>
  <w:style w:type="character" w:styleId="ListLabel171" w:customStyle="1">
    <w:name w:val="ListLabel 171"/>
    <w:qFormat/>
    <w:rPr>
      <w:rFonts w:ascii="Times New Roman" w:hAnsi="Times New Roman" w:cs="OpenSymbol"/>
      <w:b/>
      <w:sz w:val="24"/>
    </w:rPr>
  </w:style>
  <w:style w:type="character" w:styleId="ListLabel172" w:customStyle="1">
    <w:name w:val="ListLabel 172"/>
    <w:qFormat/>
    <w:rPr>
      <w:rFonts w:cs="OpenSymbol"/>
    </w:rPr>
  </w:style>
  <w:style w:type="character" w:styleId="ListLabel173" w:customStyle="1">
    <w:name w:val="ListLabel 173"/>
    <w:qFormat/>
    <w:rPr>
      <w:rFonts w:cs="OpenSymbol"/>
    </w:rPr>
  </w:style>
  <w:style w:type="character" w:styleId="ListLabel174" w:customStyle="1">
    <w:name w:val="ListLabel 174"/>
    <w:qFormat/>
    <w:rPr>
      <w:rFonts w:cs="OpenSymbol"/>
    </w:rPr>
  </w:style>
  <w:style w:type="character" w:styleId="ListLabel175" w:customStyle="1">
    <w:name w:val="ListLabel 175"/>
    <w:qFormat/>
    <w:rPr>
      <w:rFonts w:cs="OpenSymbol"/>
    </w:rPr>
  </w:style>
  <w:style w:type="character" w:styleId="ListLabel176" w:customStyle="1">
    <w:name w:val="ListLabel 176"/>
    <w:qFormat/>
    <w:rPr>
      <w:rFonts w:cs="OpenSymbol"/>
    </w:rPr>
  </w:style>
  <w:style w:type="character" w:styleId="ListLabel177" w:customStyle="1">
    <w:name w:val="ListLabel 177"/>
    <w:qFormat/>
    <w:rPr>
      <w:rFonts w:cs="OpenSymbol"/>
    </w:rPr>
  </w:style>
  <w:style w:type="character" w:styleId="ListLabel178" w:customStyle="1">
    <w:name w:val="ListLabel 178"/>
    <w:qFormat/>
    <w:rPr>
      <w:rFonts w:cs="OpenSymbol"/>
    </w:rPr>
  </w:style>
  <w:style w:type="character" w:styleId="ListLabel179" w:customStyle="1">
    <w:name w:val="ListLabel 179"/>
    <w:qFormat/>
    <w:rPr>
      <w:rFonts w:cs="OpenSymbol"/>
    </w:rPr>
  </w:style>
  <w:style w:type="character" w:styleId="Style17" w:customStyle="1">
    <w:name w:val="Σύνδεσμος διαδικτύου"/>
    <w:rPr>
      <w:color w:val="000080"/>
      <w:u w:val="single"/>
    </w:rPr>
  </w:style>
  <w:style w:type="paragraph" w:styleId="Style18" w:customStyle="1">
    <w:name w:val="Επικεφαλίδα"/>
    <w:basedOn w:val="Normal"/>
    <w:next w:val="Style19"/>
    <w:qFormat/>
    <w:pPr>
      <w:keepNext w:val="true"/>
      <w:spacing w:before="240" w:after="120"/>
    </w:pPr>
    <w:rPr>
      <w:rFonts w:ascii="Liberation Sans" w:hAnsi="Liberation Sans" w:eastAsia="Noto Sans CJK SC"/>
      <w:sz w:val="28"/>
      <w:szCs w:val="28"/>
    </w:rPr>
  </w:style>
  <w:style w:type="paragraph" w:styleId="Style19">
    <w:name w:val="Body Text"/>
    <w:basedOn w:val="Normal"/>
    <w:pPr>
      <w:spacing w:lineRule="auto" w:line="276" w:before="0" w:after="140"/>
    </w:pPr>
    <w:rPr/>
  </w:style>
  <w:style w:type="paragraph" w:styleId="Style20">
    <w:name w:val="List"/>
    <w:basedOn w:val="Style19"/>
    <w:pPr/>
    <w:rPr/>
  </w:style>
  <w:style w:type="paragraph" w:styleId="Style21">
    <w:name w:val="Caption"/>
    <w:basedOn w:val="Normal"/>
    <w:qFormat/>
    <w:pPr>
      <w:suppressLineNumbers/>
      <w:spacing w:before="120" w:after="120"/>
    </w:pPr>
    <w:rPr>
      <w:rFonts w:ascii="Calibri:onum=1" w:hAnsi="Calibri:onum=1" w:cs="Lohit Devanagari"/>
      <w:i/>
      <w:iCs/>
      <w:sz w:val="24"/>
      <w:szCs w:val="24"/>
    </w:rPr>
  </w:style>
  <w:style w:type="paragraph" w:styleId="Style22" w:customStyle="1">
    <w:name w:val="Ευρετήριο"/>
    <w:basedOn w:val="Normal"/>
    <w:qFormat/>
    <w:pPr>
      <w:suppressLineNumbers/>
    </w:pPr>
    <w:rPr/>
  </w:style>
  <w:style w:type="paragraph" w:styleId="Caption">
    <w:name w:val="caption"/>
    <w:basedOn w:val="Normal"/>
    <w:qFormat/>
    <w:pPr>
      <w:suppressLineNumbers/>
      <w:spacing w:before="120" w:after="120"/>
    </w:pPr>
    <w:rPr>
      <w:i/>
      <w:iCs/>
    </w:rPr>
  </w:style>
  <w:style w:type="paragraph" w:styleId="Standard" w:customStyle="1">
    <w:name w:val="Standard"/>
    <w:qFormat/>
    <w:pPr>
      <w:widowControl/>
      <w:suppressAutoHyphens w:val="true"/>
      <w:bidi w:val="0"/>
      <w:jc w:val="left"/>
    </w:pPr>
    <w:rPr>
      <w:rFonts w:ascii="Calibri:onum=1" w:hAnsi="Calibri:onum=1" w:eastAsia="Noto Sans CJK SC Regular" w:cs="Calibri:onum=1"/>
      <w:color w:val="auto"/>
      <w:kern w:val="2"/>
      <w:sz w:val="24"/>
      <w:szCs w:val="24"/>
      <w:lang w:val="en-US" w:eastAsia="zh-CN" w:bidi="hi-IN"/>
    </w:rPr>
  </w:style>
  <w:style w:type="paragraph" w:styleId="Textbody" w:customStyle="1">
    <w:name w:val="Text body"/>
    <w:basedOn w:val="Standard"/>
    <w:qFormat/>
    <w:pPr>
      <w:spacing w:lineRule="auto" w:line="276" w:before="0" w:after="140"/>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1191</TotalTime>
  <Application>LibreOffice/6.0.7.3$Linux_X86_64 LibreOffice_project/00m0$Build-3</Application>
  <Pages>3</Pages>
  <Words>1024</Words>
  <Characters>6342</Characters>
  <CharactersWithSpaces>7365</CharactersWithSpaces>
  <Paragraphs>19</Paragraphs>
  <Company>university of the aegean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2021-12-22T13:40:00Z</dcterms:created>
  <dc:creator/>
  <dc:description/>
  <dc:language>en-US</dc:language>
  <cp:lastModifiedBy/>
  <dcterms:modified xsi:type="dcterms:W3CDTF">2022-09-16T21:45:09Z</dcterms:modified>
  <cp:revision>88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the aegean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