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1"/>
        <w:spacing w:before="0" w:after="0"/>
        <w:jc w:val="center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u w:val="single"/>
          <w:shd w:fill="FFFFFF" w:val="clear"/>
        </w:rPr>
        <w:t>ΑΠΟΦΑΣΗ</w:t>
      </w:r>
    </w:p>
    <w:p>
      <w:pPr>
        <w:pStyle w:val="Style21"/>
        <w:spacing w:before="0" w:after="0"/>
        <w:jc w:val="center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Προεκλογική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Γενική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Συνδιάσκεψη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ς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(18.11.2021)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  <w:br/>
      </w:r>
    </w:p>
    <w:p>
      <w:pPr>
        <w:pStyle w:val="Style21"/>
        <w:spacing w:before="0" w:after="0"/>
        <w:jc w:val="center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όρους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διεξαγωγής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ανάδειξη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</w:p>
    <w:p>
      <w:pPr>
        <w:pStyle w:val="Style21"/>
        <w:numPr>
          <w:ilvl w:val="0"/>
          <w:numId w:val="2"/>
        </w:numPr>
        <w:spacing w:before="0" w:after="0"/>
        <w:jc w:val="center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των μελών του Κεντρικού Συμβουλίου του Συλλόγου ΔΕΠ</w:t>
      </w:r>
    </w:p>
    <w:p>
      <w:pPr>
        <w:pStyle w:val="Style21"/>
        <w:numPr>
          <w:ilvl w:val="0"/>
          <w:numId w:val="2"/>
        </w:numPr>
        <w:spacing w:before="0" w:after="0"/>
        <w:jc w:val="center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15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  <w:vertAlign w:val="superscript"/>
        </w:rPr>
        <w:t>ο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Συνέδριο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ΠΟΣΔΕΠ</w:t>
      </w:r>
    </w:p>
    <w:p>
      <w:pPr>
        <w:pStyle w:val="Style21"/>
        <w:numPr>
          <w:ilvl w:val="0"/>
          <w:numId w:val="0"/>
        </w:numPr>
        <w:spacing w:before="0" w:after="0"/>
        <w:ind w:left="720" w:hanging="0"/>
        <w:jc w:val="center"/>
        <w:rPr>
          <w:rStyle w:val="Style15"/>
          <w:rFonts w:ascii="Trebuchet MS" w:hAnsi="Trebuchet MS" w:cs="Trebuchet MS"/>
          <w:color w:val="000000"/>
          <w:sz w:val="24"/>
          <w:szCs w:val="24"/>
          <w:highlight w:val="white"/>
          <w:u w:val="single"/>
        </w:rPr>
      </w:pPr>
      <w:r>
        <w:rPr>
          <w:rFonts w:cs="Trebuchet MS" w:ascii="Trebuchet MS" w:hAnsi="Trebuchet MS"/>
          <w:color w:val="000000"/>
          <w:sz w:val="24"/>
          <w:szCs w:val="24"/>
          <w:highlight w:val="white"/>
          <w:u w:val="single"/>
        </w:rPr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H Προεκλογική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Γενική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Συνδιάσκεψη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μ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βάση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καταστατικό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Συλλόγου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hyperlink r:id="rId2">
        <w:r>
          <w:rPr>
            <w:rStyle w:val="Internet"/>
            <w:rFonts w:cs="Trebuchet MS" w:ascii="Trebuchet MS" w:hAnsi="Trebuchet MS"/>
            <w:sz w:val="24"/>
            <w:szCs w:val="24"/>
            <w:highlight w:val="white"/>
          </w:rPr>
          <w:t>https://forum.aegean.gr/viewtopic.php?f=13&amp;t=11785</w:t>
        </w:r>
      </w:hyperlink>
      <w:r>
        <w:rPr>
          <w:rStyle w:val="Style15"/>
          <w:rFonts w:eastAsia="Times New Roman;serif" w:cs="Trebuchet MS" w:ascii="Trebuchet MS" w:hAnsi="Trebuchet MS"/>
          <w:color w:val="000000"/>
          <w:sz w:val="24"/>
          <w:szCs w:val="24"/>
          <w:shd w:fill="FFFFFF" w:val="clear"/>
        </w:rPr>
        <w:t xml:space="preserve">,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αναφορικά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ημερομηνίες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όρους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διεξαγωγής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εκλογών</w:t>
      </w:r>
      <w:r>
        <w:rPr>
          <w:rStyle w:val="Style15"/>
          <w:rFonts w:eastAsia="Trebuchet MS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eastAsia="Trebuchet MS" w:cs="Trebuchet MS" w:ascii="Trebuchet MS" w:hAnsi="Trebuchet MS"/>
          <w:color w:val="000000"/>
          <w:sz w:val="24"/>
          <w:szCs w:val="24"/>
          <w:u w:val="single"/>
          <w:shd w:fill="FFFFFF" w:val="clear"/>
        </w:rPr>
        <w:t>για την ανάδειξη</w:t>
      </w:r>
      <w:r>
        <w:rPr>
          <w:rStyle w:val="Style15"/>
          <w:rFonts w:eastAsia="Times New Roman;serif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των μελών του Κεντρικού Συμβουλίου του Συλλόγου ΔΕΠ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 και λαμβάνοντας υπόψη</w:t>
      </w:r>
      <w:r>
        <w:rPr>
          <w:rStyle w:val="Style15"/>
          <w:rFonts w:eastAsia="Times New Roman;serif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απόφαση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Συνεδρίασης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ΠΟΣΔΕΠ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(01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  <w:lang w:val="en-US"/>
        </w:rPr>
        <w:t>/10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/2021) για την πραγματοποίηση του 15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  <w:vertAlign w:val="superscript"/>
        </w:rPr>
        <w:t>ου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 Συνεδρίου το διάστημα 17 μέχρι 19 Δεκεμβρίου 2021 καθώς και την ολοκλήρωση της εκλογικής διαδικασίας σε κάθε Σύλλογο μέχρι τις 8 Δεκεμβρίου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για την ανάδειξη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15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  <w:vertAlign w:val="superscript"/>
        </w:rPr>
        <w:t>ο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Συνέδριο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ΠΟΣΔΕΠ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>(βλ.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https://www.posdep.gr/index.php?option=com_docman&amp;Itemid=207&amp;task=doc_download&amp;gid=2748) 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cs="Trebuchet MS"/>
          <w:color w:val="000000"/>
          <w:sz w:val="24"/>
          <w:szCs w:val="24"/>
          <w:highlight w:val="white"/>
        </w:rPr>
      </w:pPr>
      <w:r>
        <w:rPr>
          <w:rFonts w:cs="Trebuchet MS" w:ascii="Trebuchet MS" w:hAnsi="Trebuchet MS"/>
          <w:color w:val="000000"/>
          <w:sz w:val="24"/>
          <w:szCs w:val="24"/>
          <w:highlight w:val="white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>αποφάσισε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 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παρακάτω: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1.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Ημέρες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καθορίζονται: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i/>
          <w:iCs/>
          <w:color w:val="000000"/>
          <w:sz w:val="24"/>
          <w:szCs w:val="24"/>
          <w:u w:val="single"/>
          <w:shd w:fill="FFFFFF" w:val="clear"/>
        </w:rPr>
        <w:t>Μυτιλήνη-Χίος-Σάμος-Ρόδος-Σύρος-Λήμνος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ascii="Trebuchet MS" w:hAnsi="Trebuchet MS"/>
          <w:i w:val="false"/>
          <w:iCs w:val="false"/>
          <w:color w:val="000000"/>
          <w:sz w:val="24"/>
          <w:szCs w:val="24"/>
          <w:u w:val="none"/>
        </w:rPr>
        <w:t>Τρίτη 30</w:t>
      </w:r>
      <w:r>
        <w:rPr>
          <w:rStyle w:val="Style15"/>
          <w:rFonts w:ascii="Trebuchet MS" w:hAnsi="Trebuchet MS"/>
          <w:i w:val="false"/>
          <w:iCs w:val="false"/>
          <w:color w:val="000000"/>
          <w:sz w:val="24"/>
          <w:szCs w:val="24"/>
          <w:u w:val="none"/>
        </w:rPr>
        <w:t xml:space="preserve">/11 (10.00-12.00) και </w:t>
      </w:r>
      <w:r>
        <w:rPr>
          <w:rStyle w:val="Style15"/>
          <w:rFonts w:eastAsia="Times New Roman" w:ascii="Trebuchet MS" w:hAnsi="Trebuchet MS"/>
          <w:i w:val="false"/>
          <w:iCs w:val="false"/>
          <w:color w:val="000000"/>
          <w:sz w:val="24"/>
          <w:szCs w:val="24"/>
          <w:u w:val="none"/>
        </w:rPr>
        <w:t xml:space="preserve"> </w:t>
      </w:r>
      <w:r>
        <w:rPr>
          <w:rStyle w:val="Style15"/>
          <w:rFonts w:ascii="Trebuchet MS" w:hAnsi="Trebuchet MS"/>
          <w:i w:val="false"/>
          <w:iCs w:val="false"/>
          <w:color w:val="000000"/>
          <w:sz w:val="24"/>
          <w:szCs w:val="24"/>
          <w:u w:val="none"/>
        </w:rPr>
        <w:t>Τετάρτη</w:t>
      </w:r>
      <w:r>
        <w:rPr>
          <w:rStyle w:val="Style15"/>
          <w:rFonts w:eastAsia="Times New Roman" w:ascii="Trebuchet MS" w:hAnsi="Trebuchet MS"/>
          <w:i w:val="false"/>
          <w:iCs w:val="false"/>
          <w:color w:val="000000"/>
          <w:sz w:val="24"/>
          <w:szCs w:val="24"/>
          <w:u w:val="none"/>
        </w:rPr>
        <w:t xml:space="preserve"> 01</w:t>
      </w:r>
      <w:r>
        <w:rPr>
          <w:rStyle w:val="Style15"/>
          <w:rFonts w:ascii="Trebuchet MS" w:hAnsi="Trebuchet MS"/>
          <w:i w:val="false"/>
          <w:iCs w:val="false"/>
          <w:color w:val="000000"/>
          <w:sz w:val="24"/>
          <w:szCs w:val="24"/>
          <w:u w:val="none"/>
        </w:rPr>
        <w:t>/12</w:t>
      </w:r>
      <w:r>
        <w:rPr>
          <w:rStyle w:val="Style15"/>
          <w:rFonts w:eastAsia="Times New Roman" w:ascii="Trebuchet MS" w:hAnsi="Trebuchet MS"/>
          <w:i w:val="false"/>
          <w:iCs w:val="false"/>
          <w:color w:val="000000"/>
          <w:sz w:val="24"/>
          <w:szCs w:val="24"/>
          <w:u w:val="none"/>
        </w:rPr>
        <w:t xml:space="preserve"> </w:t>
      </w:r>
      <w:r>
        <w:rPr>
          <w:rStyle w:val="Style15"/>
          <w:rFonts w:ascii="Trebuchet MS" w:hAnsi="Trebuchet MS"/>
          <w:i w:val="false"/>
          <w:iCs w:val="false"/>
          <w:color w:val="000000"/>
          <w:sz w:val="24"/>
          <w:szCs w:val="24"/>
          <w:u w:val="none"/>
        </w:rPr>
        <w:t>(10.00-12.00)</w:t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i/>
          <w:iCs/>
          <w:color w:val="000000"/>
          <w:sz w:val="24"/>
          <w:szCs w:val="24"/>
          <w:u w:val="single"/>
          <w:shd w:fill="auto" w:val="clear"/>
        </w:rPr>
        <w:t>Αθήνα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Τετάρτη 01/12 </w:t>
      </w:r>
      <w:r>
        <w:rPr>
          <w:rStyle w:val="Style15"/>
          <w:rFonts w:ascii="Trebuchet MS" w:hAnsi="Trebuchet MS"/>
          <w:i w:val="false"/>
          <w:iCs w:val="false"/>
          <w:color w:val="000000"/>
          <w:sz w:val="24"/>
          <w:szCs w:val="24"/>
          <w:u w:val="none"/>
        </w:rPr>
        <w:t xml:space="preserve">(11.00-13.00), 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>Πέμπτη 02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/12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i w:val="false"/>
          <w:iCs w:val="false"/>
          <w:color w:val="000000"/>
          <w:sz w:val="24"/>
          <w:szCs w:val="24"/>
          <w:u w:val="none"/>
        </w:rPr>
        <w:t>(11.00-13.00)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>και Παρασκευή 03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/12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i w:val="false"/>
          <w:iCs w:val="false"/>
          <w:color w:val="000000"/>
          <w:sz w:val="24"/>
          <w:szCs w:val="24"/>
          <w:u w:val="none"/>
        </w:rPr>
        <w:t>(11.00-13.00)</w:t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2.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Δικαίωμα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εκλέγειν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εκλέγεσθαι: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21"/>
        <w:numPr>
          <w:ilvl w:val="0"/>
          <w:numId w:val="9"/>
        </w:numPr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>για την ανάδειξη των μελών του ΚΣ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έχουν: </w:t>
      </w:r>
    </w:p>
    <w:p>
      <w:pPr>
        <w:pStyle w:val="Style21"/>
        <w:numPr>
          <w:ilvl w:val="1"/>
          <w:numId w:val="9"/>
        </w:numPr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τα i)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>ΔΕΠ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ii)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οι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διδάσκοντες/σκουσες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>σύμβαση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>ΠΔ407/80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ανάθεση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διδασκαλίας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ακαδημαϊκό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έτος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2021/22,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iii)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όσοι/ες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>διδάσκοντες/ουσες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ανάθεση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αυτοδύναμης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διδασκαλίας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μαθήματος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τη Συνέλευση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Τμήματός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 xml:space="preserve">τους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</w:rPr>
        <w:t>μέσω προγράμματος ΕΣΠ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Α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.</w:t>
      </w:r>
    </w:p>
    <w:p>
      <w:pPr>
        <w:pStyle w:val="Style21"/>
        <w:numPr>
          <w:ilvl w:val="0"/>
          <w:numId w:val="9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για την ανάδειξη αντιπροσώπων για το 15ο Συνέδριο της ΠΟΣΔΕΠ:</w:t>
      </w:r>
    </w:p>
    <w:p>
      <w:pPr>
        <w:pStyle w:val="Style21"/>
        <w:numPr>
          <w:ilvl w:val="1"/>
          <w:numId w:val="9"/>
        </w:numPr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i) τα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 xml:space="preserve">ΔΕΠ και ii)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οι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διδάσκοντες/σκουσες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>σύμβαση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auto" w:val="clear"/>
        </w:rPr>
        <w:t>ΠΔ407/80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ανάθεση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διδασκαλίας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ακαδημαϊκό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έτος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auto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auto" w:val="clear"/>
        </w:rPr>
        <w:t>2021/22.</w:t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3.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Κατάθεση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υποψηφιοτήτων 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για την ανάδειξη </w:t>
      </w:r>
    </w:p>
    <w:p>
      <w:pPr>
        <w:pStyle w:val="Style21"/>
        <w:numPr>
          <w:ilvl w:val="0"/>
          <w:numId w:val="8"/>
        </w:numPr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των μελών του ΚΣ του Συλλόγου ΔΕΠ  όσο και </w:t>
      </w:r>
    </w:p>
    <w:p>
      <w:pPr>
        <w:pStyle w:val="Style21"/>
        <w:numPr>
          <w:ilvl w:val="0"/>
          <w:numId w:val="8"/>
        </w:numPr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των αντιπροσώπων για το 15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  <w:vertAlign w:val="superscript"/>
        </w:rPr>
        <w:t>ο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Συνέδριο της ΠΟΣΔΕΠ  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γίνεται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</w:rPr>
        <w:t>μέχρι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</w:rPr>
        <w:t>την Κυριακή 28 Νοεμβρίου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</w:rPr>
        <w:t>, ώρα 12.00 το μεσημέρι.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cs="Trebuchet MS"/>
          <w:b w:val="false"/>
          <w:b w:val="false"/>
          <w:bCs w:val="false"/>
          <w:color w:val="000000"/>
          <w:sz w:val="24"/>
          <w:szCs w:val="24"/>
          <w:highlight w:val="white"/>
        </w:rPr>
      </w:pPr>
      <w:r>
        <w:rPr>
          <w:rFonts w:cs="Trebuchet MS" w:ascii="Trebuchet MS" w:hAnsi="Trebuchet MS"/>
          <w:b w:val="false"/>
          <w:bCs w:val="false"/>
          <w:color w:val="000000"/>
          <w:sz w:val="24"/>
          <w:szCs w:val="24"/>
          <w:highlight w:val="white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Η κατάθεση γίνεται στα μέλη της Τριμελούς Εφορευτικής Επιτροπής: </w:t>
      </w:r>
    </w:p>
    <w:p>
      <w:pPr>
        <w:pStyle w:val="Style21"/>
        <w:numPr>
          <w:ilvl w:val="0"/>
          <w:numId w:val="3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single"/>
          <w:shd w:fill="FFFFFF" w:val="clear"/>
        </w:rPr>
        <w:t>για τις εκλογές για το ΚΣ με την αναφορά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shd w:fill="FFFFFF" w:val="clear"/>
        </w:rPr>
        <w:t>:</w:t>
      </w:r>
    </w:p>
    <w:p>
      <w:pPr>
        <w:pStyle w:val="Style21"/>
        <w:spacing w:before="0" w:after="0"/>
        <w:ind w:left="709" w:hanging="0"/>
        <w:jc w:val="both"/>
        <w:rPr/>
      </w:pP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shd w:fill="FFFFFF" w:val="clear"/>
        </w:rPr>
        <w:t xml:space="preserve">"Υποψηφιότητα στις εκλογές για 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u w:val="none"/>
          <w:shd w:fill="FFFFFF" w:val="clear"/>
        </w:rPr>
        <w:t>την ανάδειξη μελών ΚΣ του Συλλόγου ΔΕΠ Πανεπιστημίου Αιγαίου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shd w:fill="FFFFFF" w:val="clear"/>
        </w:rPr>
        <w:t>"</w:t>
      </w:r>
    </w:p>
    <w:p>
      <w:pPr>
        <w:pStyle w:val="Style21"/>
        <w:numPr>
          <w:ilvl w:val="0"/>
          <w:numId w:val="3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single"/>
          <w:shd w:fill="FFFFFF" w:val="clear"/>
        </w:rPr>
        <w:t>για τις εκλογές για την ΠΟΣΔΕΠ με την αναφορά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shd w:fill="FFFFFF" w:val="clear"/>
        </w:rPr>
        <w:t xml:space="preserve">: </w:t>
      </w:r>
    </w:p>
    <w:p>
      <w:pPr>
        <w:pStyle w:val="Style21"/>
        <w:numPr>
          <w:ilvl w:val="0"/>
          <w:numId w:val="0"/>
        </w:numPr>
        <w:spacing w:before="0" w:after="0"/>
        <w:ind w:left="720" w:hanging="0"/>
        <w:jc w:val="both"/>
        <w:rPr/>
      </w:pP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shd w:fill="FFFFFF" w:val="clear"/>
        </w:rPr>
        <w:t>"Υποψηφιότητα στις εκλογές για το 15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shd w:fill="FFFFFF" w:val="clear"/>
          <w:vertAlign w:val="superscript"/>
        </w:rPr>
        <w:t>ο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shd w:fill="FFFFFF" w:val="clear"/>
        </w:rPr>
        <w:t xml:space="preserve"> Συνέδριο της ΠΟΣΔΕΠ" </w:t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4.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Οι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εκλογές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θα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διεξαχθούν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χρήση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κάλπης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ΓΣ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επιδιώκει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μεγαλύτερη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δυνατή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ενεργή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συμμετοχή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μελών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Συλλόγου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όλες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διαδικασίες,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κατ'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επέκταση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εκλογική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διαδικασία.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Γι΄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αυτόν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λόγο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καθορίζονται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4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ημέρες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συνολικά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ώστε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να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καταστεί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δυνατό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όλα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να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ψηφίσουν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φυσική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singl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single"/>
          <w:shd w:fill="FFFFFF" w:val="clear"/>
        </w:rPr>
        <w:t>παρουσία και με τήρηση των πρωτοκόλλων υγειονομικής ασφάλειας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. 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βάση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παραπάνω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δεν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θα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υπάρξει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δυνατότητα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συμμετοχής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δι'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αλληλογραφίας.</w:t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5. Η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Τριμελής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Εφορευτική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Επιτροπή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(ΤΕΦ)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εκλέγεται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Προε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κλογική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Γενική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Συνδιάσκεψη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λαμβάνει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ταμειακώς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τακτοποιημένα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Συλλόγου.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ascii="Trebuchet MS" w:hAnsi="Trebuchet MS"/>
          <w:color w:val="000000"/>
          <w:sz w:val="24"/>
          <w:szCs w:val="24"/>
          <w:shd w:fill="FFFFFF" w:val="clear"/>
        </w:rPr>
        <w:t>Εκλέχτηκαν τα παρακάτω για μέλη:</w:t>
      </w:r>
    </w:p>
    <w:p>
      <w:pPr>
        <w:pStyle w:val="Style25"/>
        <w:spacing w:before="0" w:after="0"/>
        <w:jc w:val="both"/>
        <w:rPr/>
      </w:pPr>
      <w:r>
        <w:rPr/>
      </w:r>
    </w:p>
    <w:p>
      <w:pPr>
        <w:pStyle w:val="Style25"/>
        <w:spacing w:before="0" w:after="0"/>
        <w:jc w:val="both"/>
        <w:rPr/>
      </w:pPr>
      <w:r>
        <w:rPr>
          <w:rFonts w:ascii="Trebuchet MS" w:hAnsi="Trebuchet MS"/>
        </w:rPr>
        <w:t>1. Δήμος Δριβαλιάρης d.drivaliaris@fme.aegean.gr</w:t>
      </w:r>
    </w:p>
    <w:p>
      <w:pPr>
        <w:pStyle w:val="Style25"/>
        <w:spacing w:before="0" w:after="0"/>
        <w:jc w:val="both"/>
        <w:rPr/>
      </w:pPr>
      <w:r>
        <w:rPr>
          <w:rFonts w:ascii="Trebuchet MS" w:hAnsi="Trebuchet MS"/>
        </w:rPr>
        <w:t>2. Αγγελική Δημητρακοπούλου adimitr@Rhodes.aegean.gr</w:t>
      </w:r>
    </w:p>
    <w:p>
      <w:pPr>
        <w:pStyle w:val="Style25"/>
        <w:spacing w:before="0" w:after="0"/>
        <w:jc w:val="both"/>
        <w:rPr/>
      </w:pPr>
      <w:r>
        <w:rPr>
          <w:rFonts w:ascii="Trebuchet MS" w:hAnsi="Trebuchet MS"/>
        </w:rPr>
        <w:t>3. Παναγιώτης Κυριακουλάκος pank@syros.aegean.gr</w:t>
      </w:r>
    </w:p>
    <w:p>
      <w:pPr>
        <w:pStyle w:val="Style25"/>
        <w:spacing w:before="0" w:after="0"/>
        <w:jc w:val="both"/>
        <w:rPr/>
      </w:pPr>
      <w:r>
        <w:rPr/>
      </w:r>
    </w:p>
    <w:p>
      <w:pPr>
        <w:pStyle w:val="Style25"/>
        <w:spacing w:before="0" w:after="0"/>
        <w:jc w:val="both"/>
        <w:rPr/>
      </w:pPr>
      <w:r>
        <w:rPr/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sz w:val="24"/>
          <w:szCs w:val="24"/>
          <w:u w:val="none"/>
        </w:rPr>
        <w:t>6. Μέλη τοπικών εφορευτικών επιτροπών:</w:t>
      </w:r>
    </w:p>
    <w:p>
      <w:pPr>
        <w:pStyle w:val="Style25"/>
        <w:spacing w:before="0" w:after="0"/>
        <w:jc w:val="both"/>
        <w:rPr/>
      </w:pPr>
      <w:r>
        <w:rPr/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sz w:val="24"/>
          <w:szCs w:val="24"/>
          <w:u w:val="single"/>
        </w:rPr>
        <w:t>Μυτιλήνη</w:t>
      </w:r>
      <w:r>
        <w:rPr>
          <w:rFonts w:cs="Trebuchet MS" w:ascii="Trebuchet MS" w:hAnsi="Trebuchet MS"/>
          <w:b/>
          <w:bCs/>
          <w:sz w:val="24"/>
          <w:szCs w:val="24"/>
          <w:u w:val="none"/>
        </w:rPr>
        <w:t xml:space="preserve"> </w:t>
      </w:r>
      <w:bookmarkStart w:id="0" w:name="__DdeLink__4795_1717402194"/>
      <w:r>
        <w:rPr>
          <w:rFonts w:cs="Trebuchet MS" w:ascii="Trebuchet MS" w:hAnsi="Trebuchet MS"/>
          <w:b/>
          <w:bCs/>
          <w:sz w:val="24"/>
          <w:szCs w:val="24"/>
          <w:u w:val="none"/>
        </w:rPr>
        <w:t>(</w:t>
      </w:r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</w:rPr>
        <w:t>Κάλπη:</w:t>
      </w:r>
      <w:bookmarkEnd w:id="0"/>
      <w:r>
        <w:rPr>
          <w:rFonts w:cs="Trebuchet MS" w:ascii="Trebuchet MS" w:hAnsi="Trebuchet MS"/>
          <w:b/>
          <w:bCs/>
          <w:sz w:val="24"/>
          <w:szCs w:val="24"/>
          <w:u w:val="none"/>
        </w:rPr>
        <w:t xml:space="preserve"> </w:t>
      </w:r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</w:rPr>
        <w:t>Κτίριο Γεωγραφίας, Ισόγειο, Γρ. αρ. 2.Ι.3 (Γρ. Καβακλή)</w:t>
      </w:r>
    </w:p>
    <w:p>
      <w:pPr>
        <w:pStyle w:val="Style25"/>
        <w:spacing w:before="0" w:after="0"/>
        <w:jc w:val="both"/>
        <w:rPr/>
      </w:pPr>
      <w:r>
        <w:rPr>
          <w:rStyle w:val="Internet"/>
          <w:rFonts w:cs="Trebuchet MS" w:ascii="Trebuchet MS" w:hAnsi="Trebuchet MS"/>
          <w:color w:val="000000"/>
          <w:sz w:val="24"/>
          <w:szCs w:val="24"/>
          <w:u w:val="none"/>
        </w:rPr>
        <w:t>1. Μιχάλης Βαΐτης vaitis@aegean.gr</w:t>
      </w:r>
    </w:p>
    <w:p>
      <w:pPr>
        <w:pStyle w:val="Style25"/>
        <w:spacing w:before="0" w:after="0"/>
        <w:jc w:val="both"/>
        <w:rPr/>
      </w:pPr>
      <w:r>
        <w:rPr>
          <w:rStyle w:val="Internet"/>
          <w:rFonts w:cs="Trebuchet MS" w:ascii="Trebuchet MS" w:hAnsi="Trebuchet MS"/>
          <w:color w:val="000000"/>
          <w:sz w:val="24"/>
          <w:szCs w:val="24"/>
          <w:u w:val="none"/>
        </w:rPr>
        <w:t>2. Ευαγγελία Καβακλή kavakli@aegean.gr</w:t>
      </w:r>
    </w:p>
    <w:p>
      <w:pPr>
        <w:pStyle w:val="Style25"/>
        <w:spacing w:before="0" w:after="0"/>
        <w:jc w:val="both"/>
        <w:rPr/>
      </w:pPr>
      <w:r>
        <w:rPr>
          <w:rStyle w:val="Internet"/>
          <w:rFonts w:cs="Trebuchet MS" w:ascii="Trebuchet MS" w:hAnsi="Trebuchet MS"/>
          <w:color w:val="000000"/>
          <w:sz w:val="24"/>
          <w:szCs w:val="24"/>
          <w:u w:val="none"/>
        </w:rPr>
        <w:t>3. Θανάσης Κίζος  akizos@aegean.gr</w:t>
      </w:r>
    </w:p>
    <w:p>
      <w:pPr>
        <w:pStyle w:val="Style25"/>
        <w:spacing w:before="0" w:after="0"/>
        <w:jc w:val="both"/>
        <w:rPr>
          <w:rStyle w:val="Internet"/>
          <w:rFonts w:ascii="Trebuchet MS" w:hAnsi="Trebuchet MS" w:cs="Trebuchet MS"/>
          <w:color w:val="000000"/>
          <w:sz w:val="24"/>
          <w:szCs w:val="24"/>
          <w:u w:val="none"/>
        </w:rPr>
      </w:pPr>
      <w:r>
        <w:rPr>
          <w:rFonts w:cs="Trebuchet MS" w:ascii="Trebuchet MS" w:hAnsi="Trebuchet MS"/>
          <w:color w:val="000000"/>
          <w:sz w:val="24"/>
          <w:szCs w:val="24"/>
          <w:u w:val="none"/>
        </w:rPr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sz w:val="24"/>
          <w:szCs w:val="24"/>
          <w:u w:val="single"/>
        </w:rPr>
        <w:t>Χίος</w:t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sz w:val="24"/>
          <w:szCs w:val="24"/>
          <w:u w:val="none"/>
        </w:rPr>
        <w:t xml:space="preserve">1. </w:t>
      </w:r>
    </w:p>
    <w:p>
      <w:pPr>
        <w:pStyle w:val="Style25"/>
        <w:spacing w:before="0" w:after="0"/>
        <w:jc w:val="both"/>
        <w:rPr/>
      </w:pPr>
      <w:r>
        <w:rPr>
          <w:rStyle w:val="Internet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</w:rPr>
        <w:t>2.</w:t>
      </w:r>
    </w:p>
    <w:p>
      <w:pPr>
        <w:pStyle w:val="Style25"/>
        <w:spacing w:before="0" w:after="0"/>
        <w:jc w:val="both"/>
        <w:rPr/>
      </w:pPr>
      <w:r>
        <w:rPr/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sz w:val="24"/>
          <w:szCs w:val="24"/>
          <w:u w:val="single"/>
        </w:rPr>
        <w:t>Σάμο</w:t>
      </w:r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</w:rPr>
        <w:t>ς (</w:t>
      </w:r>
      <w:bookmarkStart w:id="1" w:name="__DdeLink__1405_3330902686"/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</w:rPr>
        <w:t>Κάλπη:</w:t>
      </w:r>
      <w:bookmarkEnd w:id="1"/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</w:rPr>
        <w:t xml:space="preserve"> Κτίριο Ηγεμονείο 1ος όροφος, Γραφείο Δαφνή/Κουκουλογιάννη)</w:t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</w:rPr>
        <w:t>1. Νικόλαος Δαφνής nikdafnis@aegean.gr</w:t>
      </w:r>
    </w:p>
    <w:p>
      <w:pPr>
        <w:pStyle w:val="Style25"/>
        <w:spacing w:before="0" w:after="0"/>
        <w:jc w:val="both"/>
        <w:rPr/>
      </w:pPr>
      <w:r>
        <w:rPr>
          <w:rStyle w:val="Internet"/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</w:rPr>
        <w:t>2. Βασίλης Κουκουλογιάννης  vkouk@aegean.gr</w:t>
      </w:r>
    </w:p>
    <w:p>
      <w:pPr>
        <w:pStyle w:val="Style25"/>
        <w:spacing w:before="0" w:after="0"/>
        <w:jc w:val="both"/>
        <w:rPr/>
      </w:pPr>
      <w:r>
        <w:rPr/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sz w:val="24"/>
          <w:szCs w:val="24"/>
          <w:u w:val="single"/>
        </w:rPr>
        <w:t>Ρόδος (</w:t>
      </w:r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</w:rPr>
        <w:t>Κάλπη: κτίριο 7ης Μαρτίου, 1ος όροφος, γραφείο Α8)</w:t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lang w:val="en-US"/>
        </w:rPr>
        <w:t xml:space="preserve">1. Μαριάνθη Γεωργαλίδου </w:t>
      </w:r>
      <w:hyperlink r:id="rId3">
        <w:r>
          <w:rPr>
            <w:rStyle w:val="Style17"/>
            <w:rFonts w:cs="Trebuchet MS" w:ascii="Trebuchet MS" w:hAnsi="Trebuchet MS"/>
            <w:b w:val="false"/>
            <w:bCs w:val="false"/>
            <w:color w:val="000000"/>
            <w:sz w:val="24"/>
            <w:szCs w:val="24"/>
            <w:u w:val="none"/>
            <w:lang w:val="en-US"/>
          </w:rPr>
          <w:t>georgalidou@aegean.gr</w:t>
        </w:r>
      </w:hyperlink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lang w:val="en-US"/>
        </w:rPr>
        <w:t xml:space="preserve">2. Διονύσης Γουβιάς </w:t>
      </w:r>
      <w:hyperlink r:id="rId4">
        <w:r>
          <w:rPr>
            <w:rStyle w:val="Style17"/>
            <w:rFonts w:cs="Trebuchet MS" w:ascii="Trebuchet MS" w:hAnsi="Trebuchet MS"/>
            <w:b w:val="false"/>
            <w:bCs w:val="false"/>
            <w:color w:val="000000"/>
            <w:sz w:val="24"/>
            <w:szCs w:val="24"/>
            <w:u w:val="none"/>
            <w:lang w:val="en-US"/>
          </w:rPr>
          <w:t>dgouvias</w:t>
        </w:r>
        <w:r>
          <w:rPr>
            <w:rStyle w:val="Style17"/>
            <w:rFonts w:cs="Trebuchet MS" w:ascii="Trebuchet MS" w:hAnsi="Trebuchet MS"/>
            <w:b w:val="false"/>
            <w:bCs w:val="false"/>
            <w:color w:val="000000"/>
            <w:sz w:val="24"/>
            <w:szCs w:val="24"/>
            <w:u w:val="none"/>
            <w:lang w:val="el-GR"/>
          </w:rPr>
          <w:t>@</w:t>
        </w:r>
        <w:r>
          <w:rPr>
            <w:rStyle w:val="Style17"/>
            <w:rFonts w:cs="Trebuchet MS" w:ascii="Trebuchet MS" w:hAnsi="Trebuchet MS"/>
            <w:b w:val="false"/>
            <w:bCs w:val="false"/>
            <w:color w:val="000000"/>
            <w:sz w:val="24"/>
            <w:szCs w:val="24"/>
            <w:u w:val="none"/>
            <w:lang w:val="en-US"/>
          </w:rPr>
          <w:t>aegean</w:t>
        </w:r>
        <w:r>
          <w:rPr>
            <w:rStyle w:val="Style17"/>
            <w:rFonts w:cs="Trebuchet MS" w:ascii="Trebuchet MS" w:hAnsi="Trebuchet MS"/>
            <w:b w:val="false"/>
            <w:bCs w:val="false"/>
            <w:color w:val="000000"/>
            <w:sz w:val="24"/>
            <w:szCs w:val="24"/>
            <w:u w:val="none"/>
            <w:lang w:val="el-GR"/>
          </w:rPr>
          <w:t>.</w:t>
        </w:r>
        <w:r>
          <w:rPr>
            <w:rStyle w:val="Style17"/>
            <w:rFonts w:cs="Trebuchet MS" w:ascii="Trebuchet MS" w:hAnsi="Trebuchet MS"/>
            <w:b w:val="false"/>
            <w:bCs w:val="false"/>
            <w:color w:val="000000"/>
            <w:sz w:val="24"/>
            <w:szCs w:val="24"/>
            <w:u w:val="none"/>
            <w:lang w:val="en-US"/>
          </w:rPr>
          <w:t>gr</w:t>
        </w:r>
      </w:hyperlink>
      <w:r>
        <w:rPr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lang w:val="en-US"/>
        </w:rPr>
        <w:t xml:space="preserve"> </w:t>
      </w:r>
    </w:p>
    <w:p>
      <w:pPr>
        <w:pStyle w:val="Style25"/>
        <w:spacing w:before="0" w:after="0"/>
        <w:jc w:val="both"/>
        <w:rPr>
          <w:rFonts w:ascii="Trebuchet MS" w:hAnsi="Trebuchet MS" w:cs="Trebuchet MS"/>
          <w:b w:val="false"/>
          <w:b w:val="false"/>
          <w:bCs w:val="false"/>
          <w:color w:val="000000"/>
          <w:sz w:val="24"/>
          <w:szCs w:val="24"/>
          <w:u w:val="none"/>
          <w:lang w:val="en-US"/>
        </w:rPr>
      </w:pPr>
      <w:r>
        <w:rPr>
          <w:rFonts w:cs="Trebuchet MS" w:ascii="Trebuchet MS" w:hAnsi="Trebuchet MS"/>
          <w:b w:val="false"/>
          <w:bCs w:val="false"/>
          <w:color w:val="000000"/>
          <w:sz w:val="24"/>
          <w:szCs w:val="24"/>
          <w:u w:val="none"/>
          <w:lang w:val="en-US"/>
        </w:rPr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sz w:val="24"/>
          <w:szCs w:val="24"/>
          <w:u w:val="single"/>
          <w:lang w:val="en-US"/>
        </w:rPr>
        <w:t>Σύρος</w:t>
      </w:r>
      <w:r>
        <w:rPr>
          <w:rFonts w:cs="Trebuchet MS" w:ascii="Trebuchet MS" w:hAnsi="Trebuchet MS"/>
          <w:b/>
          <w:bCs/>
          <w:sz w:val="24"/>
          <w:szCs w:val="24"/>
          <w:u w:val="none"/>
          <w:lang w:val="en-US"/>
        </w:rPr>
        <w:t xml:space="preserve"> </w:t>
      </w:r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  <w:lang w:val="en-US"/>
        </w:rPr>
        <w:t xml:space="preserve">(Κάλπη: 1ο Γυμνάσιο, Γρ. Α.1.2.1) </w:t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sz w:val="24"/>
          <w:szCs w:val="24"/>
          <w:u w:val="none"/>
          <w:lang w:val="en-US"/>
        </w:rPr>
        <w:t xml:space="preserve">1. Μόδεστος Σταυράκης </w:t>
      </w:r>
      <w:hyperlink r:id="rId5">
        <w:r>
          <w:rPr>
            <w:rStyle w:val="Style17"/>
            <w:rFonts w:cs="Trebuchet MS" w:ascii="Trebuchet MS" w:hAnsi="Trebuchet MS"/>
            <w:sz w:val="24"/>
            <w:szCs w:val="24"/>
            <w:u w:val="none"/>
            <w:lang w:val="en-US"/>
          </w:rPr>
          <w:t>modestos@aegean.gr</w:t>
        </w:r>
      </w:hyperlink>
      <w:r>
        <w:rPr>
          <w:rFonts w:cs="Trebuchet MS" w:ascii="Trebuchet MS" w:hAnsi="Trebuchet MS"/>
          <w:sz w:val="24"/>
          <w:szCs w:val="24"/>
          <w:u w:val="none"/>
          <w:lang w:val="en-US"/>
        </w:rPr>
        <w:t xml:space="preserve"> </w:t>
      </w:r>
    </w:p>
    <w:p>
      <w:pPr>
        <w:pStyle w:val="Style29"/>
        <w:spacing w:before="0" w:after="283"/>
        <w:rPr/>
      </w:pPr>
      <w:r>
        <w:rPr>
          <w:rFonts w:ascii="Trebuchet MS" w:hAnsi="Trebuchet MS"/>
          <w:sz w:val="24"/>
          <w:szCs w:val="24"/>
        </w:rPr>
        <w:t xml:space="preserve">2. Σοφία Κυρατζή </w:t>
      </w:r>
      <w:hyperlink r:id="rId6">
        <w:r>
          <w:rPr>
            <w:rStyle w:val="Style17"/>
            <w:rFonts w:ascii="Trebuchet MS" w:hAnsi="Trebuchet MS"/>
            <w:sz w:val="24"/>
            <w:szCs w:val="24"/>
          </w:rPr>
          <w:t>skiratzi@aegean.gr</w:t>
        </w:r>
      </w:hyperlink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sz w:val="24"/>
          <w:szCs w:val="24"/>
          <w:u w:val="single"/>
          <w:lang w:val="en-US"/>
        </w:rPr>
        <w:t>Λήμνος</w:t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  <w:lang w:val="en-US"/>
        </w:rPr>
        <w:t>1. Δημήτρης Σαρρής dsarris@aegean.gr</w:t>
      </w:r>
    </w:p>
    <w:p>
      <w:pPr>
        <w:pStyle w:val="Style25"/>
        <w:spacing w:before="0" w:after="0"/>
        <w:jc w:val="both"/>
        <w:rPr>
          <w:rFonts w:ascii="Trebuchet MS" w:hAnsi="Trebuchet MS" w:cs="Trebuchet MS"/>
          <w:b w:val="false"/>
          <w:b w:val="false"/>
          <w:bCs w:val="false"/>
          <w:sz w:val="24"/>
          <w:szCs w:val="24"/>
          <w:u w:val="none"/>
          <w:lang w:val="en-US"/>
        </w:rPr>
      </w:pPr>
      <w:r>
        <w:rPr>
          <w:rFonts w:cs="Trebuchet MS" w:ascii="Trebuchet MS" w:hAnsi="Trebuchet MS"/>
          <w:b w:val="false"/>
          <w:bCs w:val="false"/>
          <w:sz w:val="24"/>
          <w:szCs w:val="24"/>
          <w:u w:val="none"/>
          <w:lang w:val="en-US"/>
        </w:rPr>
      </w:r>
    </w:p>
    <w:p>
      <w:pPr>
        <w:pStyle w:val="Style25"/>
        <w:spacing w:before="0" w:after="0"/>
        <w:jc w:val="both"/>
        <w:rPr>
          <w:rFonts w:ascii="Trebuchet MS" w:hAnsi="Trebuchet MS" w:cs="Trebuchet MS"/>
          <w:b/>
          <w:b/>
          <w:bCs/>
          <w:sz w:val="24"/>
          <w:szCs w:val="24"/>
          <w:u w:val="none"/>
        </w:rPr>
      </w:pPr>
      <w:r>
        <w:rPr>
          <w:rFonts w:cs="Trebuchet MS" w:ascii="Trebuchet MS" w:hAnsi="Trebuchet MS"/>
          <w:b/>
          <w:bCs/>
          <w:sz w:val="24"/>
          <w:szCs w:val="24"/>
          <w:u w:val="none"/>
        </w:rPr>
      </w:r>
    </w:p>
    <w:p>
      <w:pPr>
        <w:pStyle w:val="Style25"/>
        <w:spacing w:before="0" w:after="0"/>
        <w:jc w:val="both"/>
        <w:rPr/>
      </w:pPr>
      <w:r>
        <w:rPr>
          <w:rFonts w:cs="Trebuchet MS" w:ascii="Trebuchet MS" w:hAnsi="Trebuchet MS"/>
          <w:b/>
          <w:bCs/>
          <w:sz w:val="24"/>
          <w:szCs w:val="24"/>
          <w:u w:val="none"/>
        </w:rPr>
        <w:t xml:space="preserve">7. 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>Το αργότερο, Δευτέρα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 29 Νοεμβρίου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η ΤΕΦ,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αποστέλλει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όλες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τοπικές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εφορευτικές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επιτροπές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21"/>
        <w:numPr>
          <w:ilvl w:val="0"/>
          <w:numId w:val="1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>, που έχουν εγκριθεί από το ΚΣ του Συλλόγου.</w:t>
      </w:r>
    </w:p>
    <w:p>
      <w:pPr>
        <w:pStyle w:val="Style21"/>
        <w:numPr>
          <w:ilvl w:val="0"/>
          <w:numId w:val="1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ψηφοδέλτια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συνδυασμού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για τις εκλογές για την ΠΟΣΔΕΠ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pdf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μορφή,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ώστε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ψηφοδέλτια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νησί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να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ίδια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μορφοποίηση.</w:t>
      </w:r>
    </w:p>
    <w:p>
      <w:pPr>
        <w:pStyle w:val="Style21"/>
        <w:numPr>
          <w:ilvl w:val="0"/>
          <w:numId w:val="1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ψηφοδέλτια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συνδυασμού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για τις εκλογές για το ΚΣ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pdf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μορφή.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cs="Trebuchet MS"/>
          <w:color w:val="000000"/>
          <w:sz w:val="24"/>
          <w:szCs w:val="24"/>
          <w:highlight w:val="white"/>
        </w:rPr>
      </w:pPr>
      <w:r>
        <w:rPr>
          <w:rFonts w:cs="Trebuchet MS" w:ascii="Trebuchet MS" w:hAnsi="Trebuchet MS"/>
          <w:color w:val="000000"/>
          <w:sz w:val="24"/>
          <w:szCs w:val="24"/>
          <w:highlight w:val="white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8.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 Τα ψηφοδέλτια όλων των συνδυασμών (σε pdf μορφή) θα σταλούν την Δευτέρα από το email του Συλλόγου σε όλα τα μέλη του Συλλόγου.</w:t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9.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 Οι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τοπικές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εφορευτικές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επιτροπές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ευθύνη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τοποθέτηση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καλπών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μέρος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έχει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ανακοινωθεί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πριν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έναρξη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(οι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ανακοινώσεις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στέλνονται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ηλεκτρονικώς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email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Συλλόγου).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Έχουν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ευθύνη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εκτύπωση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αρκετού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αριθμού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ψηφοδελτίων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συνδυασμό.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25"/>
        <w:jc w:val="both"/>
        <w:rPr>
          <w:rFonts w:ascii="Trebuchet MS" w:hAnsi="Trebuchet MS" w:eastAsia="DAAAAA+ArialMT" w:cs="Trebuchet MS"/>
          <w:b/>
          <w:b/>
          <w:bCs/>
          <w:color w:val="000000"/>
          <w:sz w:val="24"/>
          <w:szCs w:val="24"/>
          <w:highlight w:val="white"/>
        </w:rPr>
      </w:pPr>
      <w:r>
        <w:rPr>
          <w:rFonts w:eastAsia="DAAAAA+ArialMT" w:cs="Trebuchet MS" w:ascii="Trebuchet MS" w:hAnsi="Trebuchet MS"/>
          <w:b/>
          <w:bCs/>
          <w:color w:val="000000"/>
          <w:sz w:val="24"/>
          <w:szCs w:val="24"/>
          <w:highlight w:val="white"/>
        </w:rPr>
      </w:r>
    </w:p>
    <w:p>
      <w:pPr>
        <w:pStyle w:val="Style21"/>
        <w:rPr/>
      </w:pPr>
      <w:r>
        <w:rPr>
          <w:rFonts w:eastAsia="DAAAAA+ArialMT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10. 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i w:val="false"/>
          <w:iCs w:val="false"/>
          <w:color w:val="000000"/>
          <w:sz w:val="24"/>
          <w:szCs w:val="24"/>
          <w:shd w:fill="FFFFFF" w:val="clear"/>
        </w:rPr>
        <w:t xml:space="preserve">Οι ψηφοφόροι ψηφίζουν ταυτόχρονα για ΚΣ (σε λευκό φάκελο) και για ΠΟΣΔΕΠ (σε 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i w:val="false"/>
          <w:iCs w:val="false"/>
          <w:color w:val="000000"/>
          <w:sz w:val="24"/>
          <w:szCs w:val="24"/>
        </w:rPr>
        <w:t xml:space="preserve">χρωματιστό 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φάκελο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i w:val="false"/>
          <w:iCs w:val="false"/>
          <w:color w:val="000000"/>
          <w:sz w:val="24"/>
          <w:szCs w:val="24"/>
          <w:shd w:fill="FFFFFF" w:val="clear"/>
        </w:rPr>
        <w:t>). Επιπλέον έχουν το δικαίωμα να συμμετάσχουν σε μία από τις δύο εκλογές: του ΚΣ ή της ΠΟΣΔΕΠ.</w:t>
      </w:r>
    </w:p>
    <w:p>
      <w:pPr>
        <w:pStyle w:val="Style25"/>
        <w:jc w:val="both"/>
        <w:rPr/>
      </w:pPr>
      <w:r>
        <w:rPr>
          <w:rFonts w:eastAsia="DAAAAA+ArialMT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11.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Kάθε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ψηφοφόρος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λαμβάνει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ξεχωριστά για κάθε εκλογή (1. για ΚΣ και 2. για ΠΟΣΔΕΠ),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ψηφοδέλτια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κάθε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συνδυασμό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ένα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λευκό ψηφοδέλτιο.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Μπορεί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να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ψηφίσει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σταυρό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δίπλα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στο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όνομα,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1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μέχρι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3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υποψήφιους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ενός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μόνο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συνδυασμού.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eastAsia="DAAAAA+ArialMT" w:cs="Trebuchet MS" w:ascii="Trebuchet MS" w:hAnsi="Trebuchet MS"/>
          <w:color w:val="000000"/>
          <w:sz w:val="24"/>
          <w:szCs w:val="24"/>
          <w:shd w:fill="FFFFFF" w:val="clear"/>
        </w:rPr>
        <w:t>Ψηφοδέλτιο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συνδυασμού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eastAsia="DAAAAA+ArialMT" w:ascii="Trebuchet MS" w:hAnsi="Trebuchet MS"/>
          <w:color w:val="000000"/>
          <w:sz w:val="24"/>
          <w:szCs w:val="24"/>
          <w:shd w:fill="FFFFFF" w:val="clear"/>
        </w:rPr>
        <w:t>χωρίς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shd w:fill="FFFFFF" w:val="clear"/>
        </w:rPr>
        <w:t>κανένα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shd w:fill="FFFFFF" w:val="clear"/>
        </w:rPr>
        <w:t>σταυρό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shd w:fill="FFFFFF" w:val="clear"/>
        </w:rPr>
        <w:t>κατακυρώνεται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shd w:fill="FFFFFF" w:val="clear"/>
        </w:rPr>
        <w:t>στον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shd w:fill="FFFFFF" w:val="clear"/>
        </w:rPr>
        <w:t>συνδυασμό.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4"/>
          <w:szCs w:val="24"/>
        </w:rPr>
        <w:t>Ψηφοδέλτιο</w:t>
      </w:r>
      <w:r>
        <w:rPr>
          <w:rStyle w:val="Style15"/>
          <w:rFonts w:eastAsia="Times New Roman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4"/>
          <w:szCs w:val="24"/>
        </w:rPr>
        <w:t>με</w:t>
      </w:r>
      <w:r>
        <w:rPr>
          <w:rStyle w:val="Style15"/>
          <w:rFonts w:eastAsia="Times New Roman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4"/>
          <w:szCs w:val="24"/>
        </w:rPr>
        <w:t>περισσότερους</w:t>
      </w:r>
      <w:r>
        <w:rPr>
          <w:rStyle w:val="Style15"/>
          <w:rFonts w:eastAsia="Times New Roman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4"/>
          <w:szCs w:val="24"/>
        </w:rPr>
        <w:t>από</w:t>
      </w:r>
      <w:r>
        <w:rPr>
          <w:rStyle w:val="Style15"/>
          <w:rFonts w:eastAsia="Times New Roman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4"/>
          <w:szCs w:val="24"/>
        </w:rPr>
        <w:t>3</w:t>
      </w:r>
      <w:r>
        <w:rPr>
          <w:rStyle w:val="Style15"/>
          <w:rFonts w:eastAsia="Times New Roman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4"/>
          <w:szCs w:val="24"/>
        </w:rPr>
        <w:t>σταυρούς</w:t>
      </w:r>
      <w:r>
        <w:rPr>
          <w:rStyle w:val="Style15"/>
          <w:rFonts w:eastAsia="Times New Roman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4"/>
          <w:szCs w:val="24"/>
        </w:rPr>
        <w:t>θεωρείται</w:t>
      </w:r>
      <w:r>
        <w:rPr>
          <w:rStyle w:val="Style15"/>
          <w:rFonts w:eastAsia="Times New Roman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b/>
          <w:bCs/>
          <w:color w:val="000000"/>
          <w:sz w:val="24"/>
          <w:szCs w:val="24"/>
        </w:rPr>
        <w:t>άκυρο</w:t>
      </w:r>
      <w:r>
        <w:rPr>
          <w:rStyle w:val="Style15"/>
          <w:rFonts w:eastAsia="Times New Roman" w:ascii="Trebuchet MS" w:hAnsi="Trebuchet MS"/>
          <w:b/>
          <w:bCs/>
          <w:color w:val="000000"/>
          <w:sz w:val="24"/>
          <w:szCs w:val="24"/>
        </w:rPr>
        <w:t xml:space="preserve"> </w:t>
      </w:r>
      <w:r>
        <w:rPr>
          <w:rStyle w:val="Style15"/>
          <w:rFonts w:eastAsia="DAAAAA+ArialMT" w:ascii="Trebuchet MS" w:hAnsi="Trebuchet MS"/>
          <w:color w:val="000000"/>
          <w:sz w:val="24"/>
          <w:szCs w:val="24"/>
        </w:rPr>
        <w:t>(καταστατικό: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</w:rPr>
        <w:t>άρθ.25,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eastAsia="DAAAAA+ArialMT" w:ascii="Trebuchet MS" w:hAnsi="Trebuchet MS"/>
          <w:color w:val="000000"/>
          <w:sz w:val="24"/>
          <w:szCs w:val="24"/>
        </w:rPr>
        <w:t>§7).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</w:rPr>
        <w:t xml:space="preserve"> </w:t>
      </w:r>
    </w:p>
    <w:p>
      <w:pPr>
        <w:pStyle w:val="Style25"/>
        <w:jc w:val="both"/>
        <w:rPr/>
      </w:pPr>
      <w:r>
        <w:rPr/>
      </w:r>
    </w:p>
    <w:p>
      <w:pPr>
        <w:pStyle w:val="Style25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12. 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u w:val="none"/>
          <w:shd w:fill="FFFFFF" w:val="clear"/>
        </w:rPr>
        <w:t>Συνδρομή:</w:t>
      </w:r>
    </w:p>
    <w:p>
      <w:pPr>
        <w:pStyle w:val="Style25"/>
        <w:numPr>
          <w:ilvl w:val="0"/>
          <w:numId w:val="7"/>
        </w:numPr>
        <w:jc w:val="both"/>
        <w:rPr/>
      </w:pP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u w:val="single"/>
          <w:shd w:fill="FFFFFF" w:val="clear"/>
        </w:rPr>
        <w:t>Για τις εκλογές για την ανάδειξη των μελών του ΚΣ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ο ψηφοφόρος υπογράφει στον εκλογικό κατάλογο και καταβάλει το ποσό των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2 ευρώ ως συνδρομή για το Σύλλογο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.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Όποιος.α επιθυμεί μπορεί να καταβάλει μεγαλύτερο ποσό. </w:t>
      </w:r>
    </w:p>
    <w:p>
      <w:pPr>
        <w:pStyle w:val="Style25"/>
        <w:numPr>
          <w:ilvl w:val="0"/>
          <w:numId w:val="7"/>
        </w:numPr>
        <w:jc w:val="both"/>
        <w:rPr/>
      </w:pP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u w:val="single"/>
          <w:shd w:fill="FFFFFF" w:val="clear"/>
        </w:rPr>
        <w:t>Για τις εκλογές για την ανάδειξη των αντιπροσώπων στο 15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u w:val="single"/>
          <w:shd w:fill="FFFFFF" w:val="clear"/>
          <w:vertAlign w:val="superscript"/>
        </w:rPr>
        <w:t>ο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u w:val="single"/>
          <w:shd w:fill="FFFFFF" w:val="clear"/>
        </w:rPr>
        <w:t xml:space="preserve"> Συνέδριο της ΠΟΣΔΕΠ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ο 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ψηφοφόρος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υπογράφει στον εκλογικό κατάλογο και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καταβάλει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ποσόν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8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ευρώ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ως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συνδρομή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αποδίδεται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στην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ΠΟΣΔΕΠ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και υπογράφει στο σχετικό εκλογικό κατάλογο. </w:t>
      </w:r>
    </w:p>
    <w:p>
      <w:pPr>
        <w:pStyle w:val="Style25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Κάθε ψηφοφόρος λαμβάνει από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εφορευτικής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επιτροπής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απόδειξη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ακριβές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ποσόν. </w:t>
      </w:r>
    </w:p>
    <w:p>
      <w:pPr>
        <w:pStyle w:val="Style25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13.</w:t>
      </w: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Αμέσως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μετά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ολοκλήρωση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νησιά,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τοπικών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εφορευτικών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επιτροπών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καταμετρούν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για κάθε εκλογή ξεχωριστά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τους φακέλους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συντάσσουν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πρακτικό  εκλογής 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Πρότυπο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πρακτικού για τις εκλογές για το συνέδριο της ΠΟΣΔΕΠ https://forum.aegean.gr/viewtopic.php?f=13&amp;t=28143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Πρότυπο  πρακτικού για τις εκλογές για την ανάδειξη των μελών του ΚΣ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https://forum.aegean.gr/viewtopic.php?f=13&amp;t=28142</w:t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DejaVu Sans" w:cs="Trebuchet MS" w:ascii="Trebuchet MS" w:hAnsi="Trebuchet MS"/>
          <w:color w:val="000000"/>
          <w:sz w:val="24"/>
          <w:szCs w:val="24"/>
          <w:shd w:fill="FFFFFF" w:val="clear"/>
        </w:rPr>
        <w:t>Σε κάθε πρακτικό αναφέρονται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: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DejaVu Sans" w:cs="Trebuchet MS" w:ascii="Trebuchet MS" w:hAnsi="Trebuchet MS"/>
          <w:color w:val="000000"/>
          <w:sz w:val="24"/>
          <w:szCs w:val="24"/>
          <w:shd w:fill="FFFFFF" w:val="clear"/>
        </w:rPr>
        <w:t>i)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αριθμός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φακέλων/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ψηφοδελτίων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καταμετρήθηκαν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DejaVu Sans" w:cs="Trebuchet MS" w:ascii="Trebuchet MS" w:hAnsi="Trebuchet MS"/>
          <w:color w:val="000000"/>
          <w:sz w:val="24"/>
          <w:szCs w:val="24"/>
          <w:shd w:fill="FFFFFF" w:val="clear"/>
        </w:rPr>
        <w:t>ii)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αριθμός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ψηφισάντων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 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DejaVu Sans" w:cs="Trebuchet MS" w:ascii="Trebuchet MS" w:hAnsi="Trebuchet MS"/>
          <w:color w:val="000000"/>
          <w:sz w:val="24"/>
          <w:szCs w:val="24"/>
          <w:shd w:fill="FFFFFF" w:val="clear"/>
        </w:rPr>
        <w:t>iii)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συνολικό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ποσό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συνδρομές.</w:t>
      </w:r>
    </w:p>
    <w:p>
      <w:pPr>
        <w:pStyle w:val="Style21"/>
        <w:spacing w:before="0" w:after="0"/>
        <w:jc w:val="both"/>
        <w:rPr>
          <w:rFonts w:ascii="Trebuchet MS" w:hAnsi="Trebuchet MS" w:eastAsia="Times New Roman" w:cs="Trebuchet MS"/>
          <w:b/>
          <w:b/>
          <w:bCs/>
          <w:color w:val="000000"/>
          <w:sz w:val="24"/>
          <w:szCs w:val="24"/>
          <w:highlight w:val="white"/>
        </w:rPr>
      </w:pP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highlight w:val="white"/>
        </w:rPr>
      </w:r>
    </w:p>
    <w:p>
      <w:pPr>
        <w:pStyle w:val="Style21"/>
        <w:spacing w:before="0" w:after="0"/>
        <w:jc w:val="both"/>
        <w:rPr/>
      </w:pP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14.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ίδια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μέρα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ολοκλήρωσης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εκλογών,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οι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τοπικές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εφορευτικές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επιτροπές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αποστέλλουν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μέλη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Τριμελούς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Εφορευτικής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Επιτροπής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κλειστό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φάκελο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που περιέχει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: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  <w:lang w:val="en-US"/>
        </w:rPr>
        <w:t>i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 2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πρακτικά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εκλογής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  <w:lang w:val="en-US"/>
        </w:rPr>
        <w:t xml:space="preserve"> (για το ΚΣ και για την ΠΟΣΔΕΠ) 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  <w:lang w:val="en-US"/>
        </w:rPr>
        <w:t>ii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1 φάκελο με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ψηφοδέλτια της εκλογής για το ΚΣ (λευκοί φ'ακελοι)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 xml:space="preserve">iii) 1 φάκελο 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με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ψηφοδέλτια της εκλογής για την ΠΟΣΔΕΠ (χρωματιστοί φάκελοι)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  <w:lang w:val="en-US"/>
        </w:rPr>
        <w:t>iv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συνολικό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χρηματικό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ποσό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συνδρομών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  <w:lang w:val="en-US"/>
        </w:rPr>
        <w:t>v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)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υπογραφές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ψηφισάντων.</w:t>
      </w:r>
    </w:p>
    <w:p>
      <w:pPr>
        <w:pStyle w:val="Style21"/>
        <w:spacing w:before="0" w:after="0"/>
        <w:ind w:left="0" w:right="0" w:hanging="16"/>
        <w:jc w:val="both"/>
        <w:rPr/>
      </w:pPr>
      <w:r>
        <w:rPr/>
      </w:r>
    </w:p>
    <w:p>
      <w:pPr>
        <w:pStyle w:val="Style21"/>
        <w:spacing w:before="0" w:after="0"/>
        <w:ind w:left="0" w:right="0" w:hanging="16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15.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καταμέτρηση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γίνεται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Τριμελή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Εφορευτική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Επιτροπή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Αθήνα την Παρασκευή 3 Δεκεμβρίου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μετά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πέρας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ψηφοφορίας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παραλαβή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ψηφοδελτίων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τοπικές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εφορευτικές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επιτροπές.</w:t>
      </w:r>
    </w:p>
    <w:p>
      <w:pPr>
        <w:pStyle w:val="Style21"/>
        <w:spacing w:before="0" w:after="0"/>
        <w:ind w:left="0" w:right="0" w:hanging="16"/>
        <w:jc w:val="both"/>
        <w:rPr/>
      </w:pPr>
      <w:r>
        <w:rPr/>
      </w:r>
    </w:p>
    <w:p>
      <w:pPr>
        <w:pStyle w:val="Style21"/>
        <w:spacing w:before="0" w:after="0"/>
        <w:jc w:val="both"/>
        <w:rPr/>
      </w:pPr>
      <w:r>
        <w:rPr>
          <w:rFonts w:eastAsia="DAAAAA+ArialMT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16.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 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u w:val="none"/>
          <w:shd w:fill="FFFFFF" w:val="clear"/>
        </w:rPr>
        <w:t>Ανάδειξη αντιπροσώπων:</w:t>
      </w:r>
    </w:p>
    <w:p>
      <w:pPr>
        <w:pStyle w:val="Style21"/>
        <w:numPr>
          <w:ilvl w:val="0"/>
          <w:numId w:val="6"/>
        </w:numPr>
        <w:spacing w:before="0" w:after="0"/>
        <w:jc w:val="both"/>
        <w:rPr/>
      </w:pPr>
      <w:r>
        <w:rPr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Τα Μέλη του ΚΣ του Συλλόγου 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εκλέγονται με το σύστημα της απλής αναλογικής. 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Αναλυτικότερα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ανάδειξη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ισχύει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ά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ρ.27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eastAsia="DAAAAA+ArialMT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§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1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καταστατικού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Συλλόγου</w:t>
      </w:r>
      <w:r>
        <w:rPr>
          <w:rStyle w:val="Style15"/>
          <w:rFonts w:eastAsia="Georgia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.</w:t>
      </w:r>
    </w:p>
    <w:p>
      <w:pPr>
        <w:pStyle w:val="Style21"/>
        <w:numPr>
          <w:ilvl w:val="0"/>
          <w:numId w:val="6"/>
        </w:numPr>
        <w:spacing w:before="0" w:after="0"/>
        <w:jc w:val="both"/>
        <w:rPr/>
      </w:pP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Οι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αντιπρόσωποι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για το συνέδριο της ΠΟΣΔΕΠ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εκλέγονται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σύστημα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απλής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color w:val="000000"/>
          <w:sz w:val="24"/>
          <w:szCs w:val="24"/>
          <w:shd w:fill="FFFFFF" w:val="clear"/>
        </w:rPr>
        <w:t>αναλογικής.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Το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μέτρο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είναι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1:20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με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βάση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την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απόφαση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της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ΔΕ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της</w:t>
      </w: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 xml:space="preserve"> </w:t>
      </w:r>
      <w:r>
        <w:rPr>
          <w:rFonts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ΠΟΣΔΕΠ.</w:t>
      </w:r>
      <w:r>
        <w:rPr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Αναλυτικότερα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ανάδειξη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ισχύει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Άρ.27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eastAsia="DAAAAA+ArialMT" w:cs="Trebuchet MS" w:ascii="Trebuchet MS" w:hAnsi="Trebuchet MS"/>
          <w:color w:val="000000"/>
          <w:sz w:val="24"/>
          <w:szCs w:val="24"/>
          <w:shd w:fill="FFFFFF" w:val="clear"/>
        </w:rPr>
        <w:t>§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1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καταστατικού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Συλλόγου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καθώς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οι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όροι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αποφασίστηκαν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ΔΕ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ΠΟΣΔΕΠ</w:t>
      </w:r>
      <w:r>
        <w:rPr>
          <w:rStyle w:val="Style15"/>
          <w:rFonts w:eastAsia="Georgia" w:cs="Trebuchet MS" w:ascii="Trebuchet MS" w:hAnsi="Trebuchet MS"/>
          <w:color w:val="000000"/>
          <w:sz w:val="24"/>
          <w:szCs w:val="24"/>
          <w:shd w:fill="FFFFFF" w:val="clear"/>
        </w:rPr>
        <w:t>.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eastAsia="Times New Roman" w:cs="Trebuchet MS"/>
          <w:color w:val="000000"/>
          <w:sz w:val="24"/>
          <w:szCs w:val="24"/>
          <w:highlight w:val="white"/>
        </w:rPr>
      </w:pPr>
      <w:r>
        <w:rPr>
          <w:rFonts w:eastAsia="Times New Roman" w:cs="Trebuchet MS" w:ascii="Trebuchet MS" w:hAnsi="Trebuchet MS"/>
          <w:color w:val="000000"/>
          <w:sz w:val="24"/>
          <w:szCs w:val="24"/>
          <w:highlight w:val="white"/>
        </w:rPr>
      </w:r>
    </w:p>
    <w:p>
      <w:pPr>
        <w:pStyle w:val="Style21"/>
        <w:spacing w:before="0" w:after="0"/>
        <w:jc w:val="both"/>
        <w:rPr/>
      </w:pPr>
      <w:r>
        <w:rPr/>
      </w:r>
    </w:p>
    <w:p>
      <w:pPr>
        <w:pStyle w:val="Style21"/>
        <w:spacing w:before="0" w:after="0"/>
        <w:ind w:left="16" w:right="0" w:hanging="16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17.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Α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Τριμελή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Εφορευτική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Επιτροπή συντάσσονται δύο πρακτικά εκλογής:</w:t>
      </w:r>
    </w:p>
    <w:p>
      <w:pPr>
        <w:pStyle w:val="Style21"/>
        <w:numPr>
          <w:ilvl w:val="0"/>
          <w:numId w:val="4"/>
        </w:numPr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ένα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πρακτικό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εκλογής,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 οποίο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υπογεγραμμένο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μαζί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υπογραφές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ψηφισάντων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παραδίδονται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/αποστέλλονται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στην πλειοψηφούσα παράταξη, η οποία μετά τη συγκρότηση του ΚΣ παραδίδει τα παραπάνω έγγραφα στον/ην Γραμματέα του νεοεκλεγέντος ΚΣ.</w:t>
      </w:r>
    </w:p>
    <w:p>
      <w:pPr>
        <w:pStyle w:val="Style21"/>
        <w:numPr>
          <w:ilvl w:val="0"/>
          <w:numId w:val="4"/>
        </w:numPr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ένα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πρακτικό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εκλογής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για την ΠΟΣΔΕΠ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,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το οποίο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υπογεγραμμένο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μαζί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τους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εκλογικούς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καταλόγους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με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τις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υπογραφές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ψηφισάντων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</w:rPr>
        <w:t>αποστέλλονται στην ΠΟΣΔΕΠ.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eastAsia="Times New Roman" w:cs="Trebuchet MS"/>
          <w:b/>
          <w:b/>
          <w:bCs/>
          <w:color w:val="000000"/>
          <w:sz w:val="24"/>
          <w:szCs w:val="24"/>
          <w:highlight w:val="white"/>
        </w:rPr>
      </w:pP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highlight w:val="white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18.</w:t>
      </w: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Το</w:t>
      </w:r>
      <w:r>
        <w:rPr>
          <w:rStyle w:val="Style15"/>
          <w:rFonts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 xml:space="preserve"> δύο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πρακτικά εκλογής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αμέσως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μετά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ανάδειξη των μελών του ΚΣ και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ανακήρυξη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αντιπροσώπων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για το 15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  <w:vertAlign w:val="superscript"/>
        </w:rPr>
        <w:t>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Συνέδριο της ΠΟΣΔΕΠ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αποστέλλονται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στην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πανεπιστημιακή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κοινότητα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Αιγαίου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email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του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shd w:fill="FFFFFF" w:val="clear"/>
        </w:rPr>
        <w:t>Συλλόγου ΔΕΠ (syldid@aegean.gr).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eastAsia="Times New Roman" w:cs="Trebuchet MS"/>
          <w:color w:val="000000"/>
          <w:sz w:val="24"/>
          <w:szCs w:val="24"/>
          <w:highlight w:val="white"/>
        </w:rPr>
      </w:pPr>
      <w:r>
        <w:rPr>
          <w:rFonts w:eastAsia="Times New Roman" w:cs="Trebuchet MS" w:ascii="Trebuchet MS" w:hAnsi="Trebuchet MS"/>
          <w:color w:val="000000"/>
          <w:sz w:val="24"/>
          <w:szCs w:val="24"/>
          <w:highlight w:val="white"/>
        </w:rPr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shd w:fill="FFFFFF" w:val="clear"/>
        </w:rPr>
        <w:t>19.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 xml:space="preserve"> Η Τριμέλης Εφορευτική Επιτροπή σε συνεργασία με τον απερχόμενο Ταμία του Συλλόγου ΔΕΠ συμπληρώνουν το Έντυπο Απόδοσης Συνδρομών στην ΠΟΣΔΕΠ 2021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shd w:fill="FFFFFF" w:val="clear"/>
        </w:rPr>
        <w:t>https://forum.aegean.gr/viewtopic.php?f=13&amp;t=28194&amp;p=28987#p28987</w:t>
      </w:r>
    </w:p>
    <w:p>
      <w:pPr>
        <w:pStyle w:val="Style21"/>
        <w:spacing w:before="0" w:after="0"/>
        <w:jc w:val="both"/>
        <w:rPr/>
      </w:pPr>
      <w:r>
        <w:rPr>
          <w:rStyle w:val="Style15"/>
          <w:rFonts w:eastAsia="Times New Roman" w:cs="Trebuchet MS" w:ascii="Trebuchet MS" w:hAnsi="Trebuchet MS"/>
          <w:b w:val="false"/>
          <w:bCs w:val="false"/>
          <w:color w:val="000000"/>
          <w:sz w:val="24"/>
          <w:szCs w:val="24"/>
          <w:shd w:fill="FFFFFF" w:val="clear"/>
        </w:rPr>
        <w:t>και κατατίθενται οι συνδρομές στην ΠΟΣΔΕΠ.</w:t>
      </w:r>
    </w:p>
    <w:p>
      <w:pPr>
        <w:pStyle w:val="Style21"/>
        <w:spacing w:before="0" w:after="0"/>
        <w:jc w:val="both"/>
        <w:rPr>
          <w:rStyle w:val="Style15"/>
          <w:rFonts w:ascii="Trebuchet MS" w:hAnsi="Trebuchet MS" w:eastAsia="Times New Roman" w:cs="Trebuchet MS"/>
          <w:b/>
          <w:b/>
          <w:bCs/>
          <w:color w:val="000000"/>
          <w:sz w:val="24"/>
          <w:szCs w:val="24"/>
          <w:highlight w:val="white"/>
        </w:rPr>
      </w:pPr>
      <w:r>
        <w:rPr>
          <w:rFonts w:eastAsia="Times New Roman" w:cs="Trebuchet MS" w:ascii="Trebuchet MS" w:hAnsi="Trebuchet MS"/>
          <w:b/>
          <w:bCs/>
          <w:color w:val="000000"/>
          <w:sz w:val="24"/>
          <w:szCs w:val="24"/>
          <w:highlight w:val="white"/>
        </w:rPr>
      </w:r>
    </w:p>
    <w:p>
      <w:pPr>
        <w:pStyle w:val="Style21"/>
        <w:spacing w:before="0" w:after="0"/>
        <w:ind w:left="-16" w:right="0" w:firstLine="16"/>
        <w:jc w:val="both"/>
        <w:rPr/>
      </w:pPr>
      <w:r>
        <w:rPr>
          <w:rStyle w:val="Style15"/>
          <w:rFonts w:cs="Trebuchet MS" w:ascii="Trebuchet MS" w:hAnsi="Trebuchet MS"/>
          <w:b/>
          <w:bCs/>
          <w:color w:val="000000"/>
          <w:sz w:val="24"/>
          <w:szCs w:val="24"/>
          <w:u w:val="none"/>
          <w:shd w:fill="FFFFFF" w:val="clear"/>
        </w:rPr>
        <w:t>20.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eastAsia="Times New Roman" w:cs="Trebuchet MS" w:ascii="Trebuchet MS" w:hAnsi="Trebuchet MS"/>
          <w:b/>
          <w:bCs/>
          <w:color w:val="000000"/>
          <w:sz w:val="24"/>
          <w:szCs w:val="24"/>
          <w:u w:val="none"/>
          <w:shd w:fill="FFFFFF" w:val="clear"/>
        </w:rPr>
        <w:t>Κάλυψη εξόδων:</w:t>
      </w:r>
    </w:p>
    <w:p>
      <w:pPr>
        <w:pStyle w:val="Style21"/>
        <w:numPr>
          <w:ilvl w:val="0"/>
          <w:numId w:val="5"/>
        </w:numPr>
        <w:spacing w:before="0" w:after="0"/>
        <w:jc w:val="both"/>
        <w:rPr/>
      </w:pP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Όλα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τα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έξοδα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που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θα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προκύψουν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για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τη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διεξαγωγή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των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εκλογών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(μπλοκ αποδείξεων, κλειδαριές καλπών κα)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καλύπτονται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από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τον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cs="Trebuchet MS" w:ascii="Trebuchet MS" w:hAnsi="Trebuchet MS"/>
          <w:color w:val="000000"/>
          <w:sz w:val="24"/>
          <w:szCs w:val="24"/>
          <w:u w:val="none"/>
          <w:shd w:fill="FFFFFF" w:val="clear"/>
        </w:rPr>
        <w:t>Σύλλογο με την κατάθεση των σχετικών αποδείξεων.</w:t>
      </w:r>
      <w:r>
        <w:rPr>
          <w:rStyle w:val="Style15"/>
          <w:rFonts w:eastAsia="Times New Roman" w:cs="Trebuchet MS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</w:p>
    <w:p>
      <w:pPr>
        <w:pStyle w:val="Style21"/>
        <w:numPr>
          <w:ilvl w:val="0"/>
          <w:numId w:val="5"/>
        </w:numPr>
        <w:spacing w:before="0" w:after="0"/>
        <w:jc w:val="both"/>
        <w:rPr/>
      </w:pPr>
      <w:r>
        <w:rPr>
          <w:rStyle w:val="Style15"/>
          <w:rFonts w:eastAsia="ABCDEE+Calibri" w:ascii="Trebuchet MS" w:hAnsi="Trebuchet MS"/>
          <w:color w:val="000000"/>
          <w:sz w:val="24"/>
          <w:szCs w:val="24"/>
          <w:u w:val="none"/>
          <w:shd w:fill="FFFFFF" w:val="clear"/>
        </w:rPr>
        <w:t>Τα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έξοδα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μετάβασης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των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συνέδρων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θα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καλυφθούν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eastAsia="ABCDEE+Calibri" w:ascii="Trebuchet MS" w:hAnsi="Trebuchet MS"/>
          <w:color w:val="000000"/>
          <w:sz w:val="24"/>
          <w:szCs w:val="24"/>
          <w:u w:val="none"/>
          <w:shd w:fill="FFFFFF" w:val="clear"/>
        </w:rPr>
        <w:t>[με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βάση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τα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παραστατικά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τους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και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για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τον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οικονομικότερο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τρόπο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μετακίνησης]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από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την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ΠΟΣΔΕΠ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(απόφαση</w:t>
      </w:r>
      <w:r>
        <w:rPr>
          <w:rStyle w:val="Style15"/>
          <w:rFonts w:eastAsia="Times New Roman" w:ascii="Trebuchet MS" w:hAnsi="Trebuchet MS"/>
          <w:color w:val="000000"/>
          <w:sz w:val="24"/>
          <w:szCs w:val="24"/>
          <w:u w:val="none"/>
          <w:shd w:fill="FFFFFF" w:val="clear"/>
        </w:rPr>
        <w:t xml:space="preserve"> </w:t>
      </w: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 xml:space="preserve">ΔΕ). </w:t>
      </w:r>
      <w:bookmarkStart w:id="2" w:name="page5R_mcid42"/>
      <w:bookmarkEnd w:id="2"/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>Επίσης από την ΠΟΣΔΕΠ θα καλυφθούν κεντρικά και τα έξοδα διαμονής των συνέδρων στην Αθήνα σε ξενοδοχεία με τα οποία θα υπάρξει ειδική συμφωνία.</w:t>
      </w:r>
    </w:p>
    <w:p>
      <w:pPr>
        <w:pStyle w:val="Style21"/>
        <w:numPr>
          <w:ilvl w:val="0"/>
          <w:numId w:val="5"/>
        </w:numPr>
        <w:spacing w:before="0" w:after="0"/>
        <w:jc w:val="both"/>
        <w:rPr/>
      </w:pPr>
      <w:r>
        <w:rPr>
          <w:rStyle w:val="Style15"/>
          <w:rFonts w:ascii="Trebuchet MS" w:hAnsi="Trebuchet MS"/>
          <w:color w:val="000000"/>
          <w:sz w:val="24"/>
          <w:szCs w:val="24"/>
          <w:u w:val="none"/>
          <w:shd w:fill="FFFFFF" w:val="clear"/>
        </w:rPr>
        <w:t xml:space="preserve">Τα έξοδα μετακίνησης των μελών της Τριμελούς Εφορευτικής Επιτροπής θα καλυφθούν από τον Σύλλογο. </w:t>
      </w:r>
    </w:p>
    <w:sectPr>
      <w:headerReference w:type="default" r:id="rId7"/>
      <w:footerReference w:type="default" r:id="rId8"/>
      <w:type w:val="nextPage"/>
      <w:pgSz w:w="11906" w:h="16838"/>
      <w:pgMar w:left="1134" w:right="1134" w:header="1134" w:top="1693" w:footer="72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auto"/>
    <w:pitch w:val="default"/>
  </w:font>
  <w:font w:name="DejaVu Sans Mono">
    <w:charset w:val="01"/>
    <w:family w:val="auto"/>
    <w:pitch w:val="default"/>
  </w:font>
  <w:font w:name="Trebuchet MS">
    <w:charset w:val="01"/>
    <w:family w:val="auto"/>
    <w:pitch w:val="default"/>
  </w:font>
  <w:font w:name="OpenSymbol">
    <w:altName w:val="Arial Unicode MS"/>
    <w:charset w:val="01"/>
    <w:family w:val="auto"/>
    <w:pitch w:val="default"/>
  </w:font>
  <w:font w:name="Arial">
    <w:charset w:val="01"/>
    <w:family w:val="auto"/>
    <w:pitch w:val="default"/>
  </w:font>
  <w:font w:name="Calibri:onum=1">
    <w:charset w:val="01"/>
    <w:family w:val="auto"/>
    <w:pitch w:val="default"/>
  </w:font>
  <w:font w:name="Times New Roman">
    <w:charset w:val="01"/>
    <w:family w:val="auto"/>
    <w:pitch w:val="default"/>
  </w:font>
  <w:font w:name="Liberation Mono">
    <w:altName w:val="Courier New"/>
    <w:charset w:val="01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8"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5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AR PL SungtiL GB" w:cs="Lohit Devanagari"/>
        <w:kern w:val="2"/>
        <w:sz w:val="20"/>
        <w:szCs w:val="24"/>
        <w:lang w:val="el-G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Calibri" w:hAnsi="Calibri" w:eastAsia="AR PL SungtiL GB" w:cs="Lohit Devanagari"/>
      <w:color w:val="auto"/>
      <w:kern w:val="2"/>
      <w:sz w:val="22"/>
      <w:szCs w:val="24"/>
      <w:lang w:val="el-GR" w:eastAsia="zh-CN" w:bidi="hi-IN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Style14">
    <w:name w:val="Προεπιλεγμένη γραμματοσειρά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Style15">
    <w:name w:val="Μη αρμονικό κείμενο"/>
    <w:qFormat/>
    <w:rPr>
      <w:rFonts w:ascii="DejaVu Sans Mono" w:hAnsi="DejaVu Sans Mono" w:eastAsia="SimSun;Batang" w:cs="DejaVu Sans Mono"/>
    </w:rPr>
  </w:style>
  <w:style w:type="character" w:styleId="Internet">
    <w:name w:val="Δεσμός Internet"/>
    <w:qFormat/>
    <w:rPr>
      <w:color w:val="000080"/>
      <w:u w:val="single"/>
      <w:lang w:val="el-GR" w:eastAsia="el-GR" w:bidi="el-GR"/>
    </w:rPr>
  </w:style>
  <w:style w:type="character" w:styleId="Style16">
    <w:name w:val="Αναγνωσμένος δεσμός"/>
    <w:basedOn w:val="Style14"/>
    <w:qFormat/>
    <w:rPr>
      <w:color w:val="800080"/>
      <w:u w:val="single"/>
      <w:lang w:val="el-GR" w:eastAsia="el-GR" w:bidi="el-GR"/>
    </w:rPr>
  </w:style>
  <w:style w:type="character" w:styleId="ListLabel1">
    <w:name w:val="ListLabel 1"/>
    <w:qFormat/>
    <w:rPr>
      <w:rFonts w:ascii="Trebuchet MS" w:hAnsi="Trebuchet MS" w:cs="Trebuchet MS"/>
      <w:sz w:val="24"/>
      <w:szCs w:val="24"/>
      <w:shd w:fill="FFFFFF" w:val="clear"/>
    </w:rPr>
  </w:style>
  <w:style w:type="character" w:styleId="Style17">
    <w:name w:val="Σύνδεσμος διαδικτύου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ascii="Trebuchet MS" w:hAnsi="Trebuchet MS"/>
    </w:rPr>
  </w:style>
  <w:style w:type="character" w:styleId="ListLabel3">
    <w:name w:val="ListLabel 3"/>
    <w:qFormat/>
    <w:rPr>
      <w:rFonts w:ascii="Trebuchet MS" w:hAnsi="Trebuchet MS" w:cs="Trebuchet MS"/>
      <w:sz w:val="24"/>
      <w:szCs w:val="24"/>
      <w:u w:val="none"/>
    </w:rPr>
  </w:style>
  <w:style w:type="character" w:styleId="ListLabel4">
    <w:name w:val="ListLabel 4"/>
    <w:qFormat/>
    <w:rPr>
      <w:rFonts w:ascii="Trebuchet MS" w:hAnsi="Trebuchet MS" w:cs="Trebuchet MS"/>
      <w:b w:val="false"/>
      <w:bCs w:val="false"/>
      <w:sz w:val="24"/>
      <w:szCs w:val="24"/>
      <w:u w:val="none"/>
    </w:rPr>
  </w:style>
  <w:style w:type="character" w:styleId="ListLabel5">
    <w:name w:val="ListLabel 5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</w:rPr>
  </w:style>
  <w:style w:type="character" w:styleId="ListLabel6">
    <w:name w:val="ListLabel 6"/>
    <w:qFormat/>
    <w:rPr>
      <w:rFonts w:ascii="Trebuchet MS" w:hAnsi="Trebuchet MS" w:cs="Trebuchet MS"/>
      <w:sz w:val="24"/>
      <w:szCs w:val="24"/>
      <w:u w:val="none"/>
      <w:lang w:val="en-US"/>
    </w:rPr>
  </w:style>
  <w:style w:type="character" w:styleId="ListLabel7">
    <w:name w:val="ListLabel 7"/>
    <w:qFormat/>
    <w:rPr>
      <w:rFonts w:ascii="Trebuchet MS" w:hAnsi="Trebuchet MS" w:cs="Trebuchet MS"/>
      <w:color w:val="000000"/>
      <w:sz w:val="24"/>
      <w:szCs w:val="24"/>
      <w:u w:val="none"/>
      <w:lang w:val="en-US"/>
    </w:rPr>
  </w:style>
  <w:style w:type="character" w:styleId="Style18">
    <w:name w:val="Κουκκίδες"/>
    <w:qFormat/>
    <w:rPr>
      <w:rFonts w:ascii="OpenSymbol" w:hAnsi="OpenSymbol" w:eastAsia="OpenSymbol" w:cs="OpenSymbol"/>
    </w:rPr>
  </w:style>
  <w:style w:type="character" w:styleId="Style19">
    <w:name w:val="Χαρακτήρες αρίθμησης"/>
    <w:qFormat/>
    <w:rPr/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18">
    <w:name w:val="ListLabel 18"/>
    <w:qFormat/>
    <w:rPr>
      <w:rFonts w:ascii="Trebuchet MS" w:hAnsi="Trebuchet MS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38">
    <w:name w:val="ListLabel 38"/>
    <w:qFormat/>
    <w:rPr>
      <w:rFonts w:ascii="Trebuchet MS" w:hAnsi="Trebuchet MS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cs="OpenSymbol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67">
    <w:name w:val="ListLabel 67"/>
    <w:qFormat/>
    <w:rPr>
      <w:rFonts w:ascii="Trebuchet MS" w:hAnsi="Trebuchet MS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OpenSymbol"/>
    </w:rPr>
  </w:style>
  <w:style w:type="character" w:styleId="ListLabel77">
    <w:name w:val="ListLabel 77"/>
    <w:qFormat/>
    <w:rPr>
      <w:rFonts w:cs="OpenSymbol"/>
    </w:rPr>
  </w:style>
  <w:style w:type="character" w:styleId="ListLabel78">
    <w:name w:val="ListLabel 78"/>
    <w:qFormat/>
    <w:rPr>
      <w:rFonts w:cs="OpenSymbol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cs="OpenSymbol"/>
    </w:rPr>
  </w:style>
  <w:style w:type="character" w:styleId="ListLabel81">
    <w:name w:val="ListLabel 81"/>
    <w:qFormat/>
    <w:rPr>
      <w:rFonts w:cs="OpenSymbol"/>
    </w:rPr>
  </w:style>
  <w:style w:type="character" w:styleId="ListLabel82">
    <w:name w:val="ListLabel 82"/>
    <w:qFormat/>
    <w:rPr>
      <w:rFonts w:cs="OpenSymbol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cs="OpenSymbol"/>
    </w:rPr>
  </w:style>
  <w:style w:type="character" w:styleId="ListLabel98">
    <w:name w:val="ListLabel 98"/>
    <w:qFormat/>
    <w:rPr>
      <w:rFonts w:cs="OpenSymbol"/>
    </w:rPr>
  </w:style>
  <w:style w:type="character" w:styleId="ListLabel99">
    <w:name w:val="ListLabel 99"/>
    <w:qFormat/>
    <w:rPr>
      <w:rFonts w:cs="OpenSymbol"/>
    </w:rPr>
  </w:style>
  <w:style w:type="character" w:styleId="ListLabel100">
    <w:name w:val="ListLabel 100"/>
    <w:qFormat/>
    <w:rPr>
      <w:rFonts w:cs="OpenSymbol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OpenSymbol"/>
    </w:rPr>
  </w:style>
  <w:style w:type="character" w:styleId="ListLabel110">
    <w:name w:val="ListLabel 110"/>
    <w:qFormat/>
    <w:rPr>
      <w:rFonts w:cs="OpenSymbol"/>
    </w:rPr>
  </w:style>
  <w:style w:type="character" w:styleId="ListLabel111">
    <w:name w:val="ListLabel 111"/>
    <w:qFormat/>
    <w:rPr>
      <w:rFonts w:cs="OpenSymbol"/>
    </w:rPr>
  </w:style>
  <w:style w:type="character" w:styleId="ListLabel112">
    <w:name w:val="ListLabel 112"/>
    <w:qFormat/>
    <w:rPr>
      <w:rFonts w:cs="OpenSymbol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OpenSymbol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rFonts w:cs="OpenSymbol"/>
    </w:rPr>
  </w:style>
  <w:style w:type="character" w:styleId="ListLabel131">
    <w:name w:val="ListLabel 131"/>
    <w:qFormat/>
    <w:rPr>
      <w:rFonts w:cs="OpenSymbol"/>
    </w:rPr>
  </w:style>
  <w:style w:type="character" w:styleId="ListLabel132">
    <w:name w:val="ListLabel 132"/>
    <w:qFormat/>
    <w:rPr>
      <w:rFonts w:cs="OpenSymbol"/>
    </w:rPr>
  </w:style>
  <w:style w:type="character" w:styleId="ListLabel133">
    <w:name w:val="ListLabel 133"/>
    <w:qFormat/>
    <w:rPr>
      <w:rFonts w:cs="OpenSymbol"/>
    </w:rPr>
  </w:style>
  <w:style w:type="character" w:styleId="ListLabel134">
    <w:name w:val="ListLabel 134"/>
    <w:qFormat/>
    <w:rPr>
      <w:rFonts w:cs="OpenSymbol"/>
    </w:rPr>
  </w:style>
  <w:style w:type="character" w:styleId="ListLabel135">
    <w:name w:val="ListLabel 135"/>
    <w:qFormat/>
    <w:rPr>
      <w:rFonts w:cs="OpenSymbol"/>
    </w:rPr>
  </w:style>
  <w:style w:type="character" w:styleId="ListLabel136">
    <w:name w:val="ListLabel 136"/>
    <w:qFormat/>
    <w:rPr>
      <w:rFonts w:cs="OpenSymbol"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cs="OpenSymbol"/>
    </w:rPr>
  </w:style>
  <w:style w:type="character" w:styleId="ListLabel141">
    <w:name w:val="ListLabel 141"/>
    <w:qFormat/>
    <w:rPr>
      <w:rFonts w:cs="OpenSymbol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OpenSymbol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cs="OpenSymbol"/>
    </w:rPr>
  </w:style>
  <w:style w:type="character" w:styleId="ListLabel150">
    <w:name w:val="ListLabel 150"/>
    <w:qFormat/>
    <w:rPr>
      <w:rFonts w:cs="OpenSymbol"/>
    </w:rPr>
  </w:style>
  <w:style w:type="character" w:styleId="ListLabel151">
    <w:name w:val="ListLabel 151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152">
    <w:name w:val="ListLabel 152"/>
    <w:qFormat/>
    <w:rPr>
      <w:rFonts w:cs="OpenSymbol"/>
    </w:rPr>
  </w:style>
  <w:style w:type="character" w:styleId="ListLabel153">
    <w:name w:val="ListLabel 153"/>
    <w:qFormat/>
    <w:rPr>
      <w:rFonts w:cs="OpenSymbol"/>
    </w:rPr>
  </w:style>
  <w:style w:type="character" w:styleId="ListLabel154">
    <w:name w:val="ListLabel 154"/>
    <w:qFormat/>
    <w:rPr>
      <w:rFonts w:cs="OpenSymbol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cs="OpenSymbol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character" w:styleId="ListLabel163">
    <w:name w:val="ListLabel 163"/>
    <w:qFormat/>
    <w:rPr>
      <w:rFonts w:cs="OpenSymbol"/>
    </w:rPr>
  </w:style>
  <w:style w:type="character" w:styleId="ListLabel164">
    <w:name w:val="ListLabel 164"/>
    <w:qFormat/>
    <w:rPr>
      <w:rFonts w:cs="OpenSymbol"/>
    </w:rPr>
  </w:style>
  <w:style w:type="character" w:styleId="ListLabel165">
    <w:name w:val="ListLabel 165"/>
    <w:qFormat/>
    <w:rPr>
      <w:rFonts w:cs="OpenSymbol"/>
    </w:rPr>
  </w:style>
  <w:style w:type="character" w:styleId="ListLabel166">
    <w:name w:val="ListLabel 166"/>
    <w:qFormat/>
    <w:rPr>
      <w:rFonts w:cs="OpenSymbol"/>
    </w:rPr>
  </w:style>
  <w:style w:type="character" w:styleId="ListLabel167">
    <w:name w:val="ListLabel 167"/>
    <w:qFormat/>
    <w:rPr>
      <w:rFonts w:cs="OpenSymbol"/>
    </w:rPr>
  </w:style>
  <w:style w:type="character" w:styleId="ListLabel168">
    <w:name w:val="ListLabel 168"/>
    <w:qFormat/>
    <w:rPr>
      <w:rFonts w:cs="OpenSymbol"/>
    </w:rPr>
  </w:style>
  <w:style w:type="character" w:styleId="ListLabel169">
    <w:name w:val="ListLabel 169"/>
    <w:qFormat/>
    <w:rPr>
      <w:rFonts w:cs="OpenSymbol"/>
    </w:rPr>
  </w:style>
  <w:style w:type="character" w:styleId="ListLabel170">
    <w:name w:val="ListLabel 170"/>
    <w:qFormat/>
    <w:rPr>
      <w:rFonts w:cs="OpenSymbol"/>
    </w:rPr>
  </w:style>
  <w:style w:type="character" w:styleId="ListLabel171">
    <w:name w:val="ListLabel 171"/>
    <w:qFormat/>
    <w:rPr>
      <w:rFonts w:cs="OpenSymbol"/>
    </w:rPr>
  </w:style>
  <w:style w:type="character" w:styleId="ListLabel172">
    <w:name w:val="ListLabel 172"/>
    <w:qFormat/>
    <w:rPr>
      <w:rFonts w:cs="OpenSymbol"/>
    </w:rPr>
  </w:style>
  <w:style w:type="character" w:styleId="ListLabel173">
    <w:name w:val="ListLabel 173"/>
    <w:qFormat/>
    <w:rPr>
      <w:rFonts w:cs="OpenSymbol"/>
    </w:rPr>
  </w:style>
  <w:style w:type="character" w:styleId="ListLabel174">
    <w:name w:val="ListLabel 174"/>
    <w:qFormat/>
    <w:rPr>
      <w:rFonts w:cs="OpenSymbol"/>
    </w:rPr>
  </w:style>
  <w:style w:type="character" w:styleId="ListLabel175">
    <w:name w:val="ListLabel 175"/>
    <w:qFormat/>
    <w:rPr>
      <w:rFonts w:cs="OpenSymbol"/>
    </w:rPr>
  </w:style>
  <w:style w:type="character" w:styleId="ListLabel176">
    <w:name w:val="ListLabel 176"/>
    <w:qFormat/>
    <w:rPr>
      <w:rFonts w:cs="OpenSymbol"/>
    </w:rPr>
  </w:style>
  <w:style w:type="character" w:styleId="ListLabel177">
    <w:name w:val="ListLabel 177"/>
    <w:qFormat/>
    <w:rPr>
      <w:rFonts w:cs="OpenSymbol"/>
    </w:rPr>
  </w:style>
  <w:style w:type="character" w:styleId="ListLabel178">
    <w:name w:val="ListLabel 178"/>
    <w:qFormat/>
    <w:rPr>
      <w:rFonts w:cs="OpenSymbol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character" w:styleId="ListLabel181">
    <w:name w:val="ListLabel 181"/>
    <w:qFormat/>
    <w:rPr>
      <w:rFonts w:cs="OpenSymbol"/>
    </w:rPr>
  </w:style>
  <w:style w:type="character" w:styleId="ListLabel182">
    <w:name w:val="ListLabel 182"/>
    <w:qFormat/>
    <w:rPr>
      <w:rFonts w:cs="OpenSymbol"/>
    </w:rPr>
  </w:style>
  <w:style w:type="character" w:styleId="ListLabel183">
    <w:name w:val="ListLabel 183"/>
    <w:qFormat/>
    <w:rPr>
      <w:rFonts w:cs="OpenSymbol"/>
    </w:rPr>
  </w:style>
  <w:style w:type="character" w:styleId="ListLabel184">
    <w:name w:val="ListLabel 184"/>
    <w:qFormat/>
    <w:rPr>
      <w:rFonts w:cs="OpenSymbol"/>
    </w:rPr>
  </w:style>
  <w:style w:type="character" w:styleId="ListLabel185">
    <w:name w:val="ListLabel 185"/>
    <w:qFormat/>
    <w:rPr>
      <w:rFonts w:cs="OpenSymbol"/>
    </w:rPr>
  </w:style>
  <w:style w:type="character" w:styleId="ListLabel186">
    <w:name w:val="ListLabel 186"/>
    <w:qFormat/>
    <w:rPr>
      <w:rFonts w:cs="OpenSymbol"/>
    </w:rPr>
  </w:style>
  <w:style w:type="character" w:styleId="ListLabel187">
    <w:name w:val="ListLabel 187"/>
    <w:qFormat/>
    <w:rPr>
      <w:rFonts w:cs="OpenSymbol"/>
    </w:rPr>
  </w:style>
  <w:style w:type="character" w:styleId="ListLabel188">
    <w:name w:val="ListLabel 188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189">
    <w:name w:val="ListLabel 189"/>
    <w:qFormat/>
    <w:rPr>
      <w:rFonts w:cs="OpenSymbol"/>
    </w:rPr>
  </w:style>
  <w:style w:type="character" w:styleId="ListLabel190">
    <w:name w:val="ListLabel 190"/>
    <w:qFormat/>
    <w:rPr>
      <w:rFonts w:cs="OpenSymbol"/>
    </w:rPr>
  </w:style>
  <w:style w:type="character" w:styleId="ListLabel191">
    <w:name w:val="ListLabel 191"/>
    <w:qFormat/>
    <w:rPr>
      <w:rFonts w:cs="OpenSymbol"/>
    </w:rPr>
  </w:style>
  <w:style w:type="character" w:styleId="ListLabel192">
    <w:name w:val="ListLabel 192"/>
    <w:qFormat/>
    <w:rPr>
      <w:rFonts w:cs="OpenSymbol"/>
    </w:rPr>
  </w:style>
  <w:style w:type="character" w:styleId="ListLabel193">
    <w:name w:val="ListLabel 193"/>
    <w:qFormat/>
    <w:rPr>
      <w:rFonts w:cs="OpenSymbol"/>
    </w:rPr>
  </w:style>
  <w:style w:type="character" w:styleId="ListLabel194">
    <w:name w:val="ListLabel 194"/>
    <w:qFormat/>
    <w:rPr>
      <w:rFonts w:cs="OpenSymbol"/>
    </w:rPr>
  </w:style>
  <w:style w:type="character" w:styleId="ListLabel195">
    <w:name w:val="ListLabel 195"/>
    <w:qFormat/>
    <w:rPr>
      <w:rFonts w:cs="OpenSymbol"/>
    </w:rPr>
  </w:style>
  <w:style w:type="character" w:styleId="ListLabel196">
    <w:name w:val="ListLabel 196"/>
    <w:qFormat/>
    <w:rPr>
      <w:rFonts w:cs="OpenSymbol"/>
    </w:rPr>
  </w:style>
  <w:style w:type="character" w:styleId="ListLabel197">
    <w:name w:val="ListLabel 197"/>
    <w:qFormat/>
    <w:rPr>
      <w:rFonts w:cs="OpenSymbol"/>
    </w:rPr>
  </w:style>
  <w:style w:type="character" w:styleId="ListLabel198">
    <w:name w:val="ListLabel 198"/>
    <w:qFormat/>
    <w:rPr>
      <w:rFonts w:cs="OpenSymbol"/>
    </w:rPr>
  </w:style>
  <w:style w:type="character" w:styleId="ListLabel199">
    <w:name w:val="ListLabel 199"/>
    <w:qFormat/>
    <w:rPr>
      <w:rFonts w:cs="OpenSymbol"/>
    </w:rPr>
  </w:style>
  <w:style w:type="character" w:styleId="ListLabel200">
    <w:name w:val="ListLabel 200"/>
    <w:qFormat/>
    <w:rPr>
      <w:rFonts w:cs="OpenSymbol"/>
    </w:rPr>
  </w:style>
  <w:style w:type="character" w:styleId="ListLabel201">
    <w:name w:val="ListLabel 201"/>
    <w:qFormat/>
    <w:rPr>
      <w:rFonts w:cs="OpenSymbol"/>
    </w:rPr>
  </w:style>
  <w:style w:type="character" w:styleId="ListLabel202">
    <w:name w:val="ListLabel 202"/>
    <w:qFormat/>
    <w:rPr>
      <w:rFonts w:cs="OpenSymbol"/>
    </w:rPr>
  </w:style>
  <w:style w:type="character" w:styleId="ListLabel203">
    <w:name w:val="ListLabel 203"/>
    <w:qFormat/>
    <w:rPr>
      <w:rFonts w:cs="OpenSymbol"/>
    </w:rPr>
  </w:style>
  <w:style w:type="character" w:styleId="ListLabel204">
    <w:name w:val="ListLabel 204"/>
    <w:qFormat/>
    <w:rPr>
      <w:rFonts w:cs="OpenSymbol"/>
    </w:rPr>
  </w:style>
  <w:style w:type="character" w:styleId="ListLabel205">
    <w:name w:val="ListLabel 205"/>
    <w:qFormat/>
    <w:rPr>
      <w:rFonts w:cs="OpenSymbol"/>
    </w:rPr>
  </w:style>
  <w:style w:type="character" w:styleId="ListLabel206">
    <w:name w:val="ListLabel 206"/>
    <w:qFormat/>
    <w:rPr>
      <w:rFonts w:cs="OpenSymbol"/>
    </w:rPr>
  </w:style>
  <w:style w:type="character" w:styleId="ListLabel207">
    <w:name w:val="ListLabel 207"/>
    <w:qFormat/>
    <w:rPr>
      <w:rFonts w:cs="OpenSymbol"/>
    </w:rPr>
  </w:style>
  <w:style w:type="character" w:styleId="ListLabel208">
    <w:name w:val="ListLabel 208"/>
    <w:qFormat/>
    <w:rPr>
      <w:rFonts w:cs="OpenSymbol"/>
    </w:rPr>
  </w:style>
  <w:style w:type="character" w:styleId="ListLabel209">
    <w:name w:val="ListLabel 209"/>
    <w:qFormat/>
    <w:rPr>
      <w:rFonts w:cs="OpenSymbol"/>
    </w:rPr>
  </w:style>
  <w:style w:type="character" w:styleId="ListLabel210">
    <w:name w:val="ListLabel 210"/>
    <w:qFormat/>
    <w:rPr>
      <w:rFonts w:cs="OpenSymbol"/>
    </w:rPr>
  </w:style>
  <w:style w:type="character" w:styleId="ListLabel211">
    <w:name w:val="ListLabel 211"/>
    <w:qFormat/>
    <w:rPr>
      <w:rFonts w:cs="OpenSymbol"/>
    </w:rPr>
  </w:style>
  <w:style w:type="character" w:styleId="ListLabel212">
    <w:name w:val="ListLabel 212"/>
    <w:qFormat/>
    <w:rPr>
      <w:rFonts w:cs="OpenSymbol"/>
    </w:rPr>
  </w:style>
  <w:style w:type="character" w:styleId="ListLabel213">
    <w:name w:val="ListLabel 213"/>
    <w:qFormat/>
    <w:rPr>
      <w:rFonts w:cs="OpenSymbol"/>
    </w:rPr>
  </w:style>
  <w:style w:type="character" w:styleId="ListLabel214">
    <w:name w:val="ListLabel 214"/>
    <w:qFormat/>
    <w:rPr>
      <w:rFonts w:cs="OpenSymbol"/>
    </w:rPr>
  </w:style>
  <w:style w:type="character" w:styleId="ListLabel215">
    <w:name w:val="ListLabel 215"/>
    <w:qFormat/>
    <w:rPr>
      <w:rFonts w:cs="OpenSymbol"/>
    </w:rPr>
  </w:style>
  <w:style w:type="character" w:styleId="ListLabel216">
    <w:name w:val="ListLabel 216"/>
    <w:qFormat/>
    <w:rPr>
      <w:rFonts w:cs="OpenSymbol"/>
    </w:rPr>
  </w:style>
  <w:style w:type="character" w:styleId="ListLabel217">
    <w:name w:val="ListLabel 217"/>
    <w:qFormat/>
    <w:rPr>
      <w:rFonts w:cs="OpenSymbol"/>
    </w:rPr>
  </w:style>
  <w:style w:type="character" w:styleId="ListLabel218">
    <w:name w:val="ListLabel 218"/>
    <w:qFormat/>
    <w:rPr>
      <w:rFonts w:cs="OpenSymbol"/>
    </w:rPr>
  </w:style>
  <w:style w:type="character" w:styleId="ListLabel219">
    <w:name w:val="ListLabel 219"/>
    <w:qFormat/>
    <w:rPr>
      <w:rFonts w:cs="OpenSymbol"/>
    </w:rPr>
  </w:style>
  <w:style w:type="character" w:styleId="ListLabel220">
    <w:name w:val="ListLabel 220"/>
    <w:qFormat/>
    <w:rPr>
      <w:rFonts w:cs="OpenSymbol"/>
    </w:rPr>
  </w:style>
  <w:style w:type="character" w:styleId="ListLabel221">
    <w:name w:val="ListLabel 221"/>
    <w:qFormat/>
    <w:rPr>
      <w:rFonts w:cs="OpenSymbol"/>
    </w:rPr>
  </w:style>
  <w:style w:type="character" w:styleId="ListLabel222">
    <w:name w:val="ListLabel 222"/>
    <w:qFormat/>
    <w:rPr>
      <w:rFonts w:cs="OpenSymbol"/>
    </w:rPr>
  </w:style>
  <w:style w:type="character" w:styleId="ListLabel223">
    <w:name w:val="ListLabel 223"/>
    <w:qFormat/>
    <w:rPr>
      <w:rFonts w:cs="OpenSymbol"/>
    </w:rPr>
  </w:style>
  <w:style w:type="character" w:styleId="ListLabel224">
    <w:name w:val="ListLabel 224"/>
    <w:qFormat/>
    <w:rPr>
      <w:rFonts w:cs="OpenSymbol"/>
    </w:rPr>
  </w:style>
  <w:style w:type="character" w:styleId="ListLabel225">
    <w:name w:val="ListLabel 225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226">
    <w:name w:val="ListLabel 226"/>
    <w:qFormat/>
    <w:rPr>
      <w:rFonts w:cs="OpenSymbol"/>
    </w:rPr>
  </w:style>
  <w:style w:type="character" w:styleId="ListLabel227">
    <w:name w:val="ListLabel 227"/>
    <w:qFormat/>
    <w:rPr>
      <w:rFonts w:cs="OpenSymbol"/>
    </w:rPr>
  </w:style>
  <w:style w:type="character" w:styleId="ListLabel228">
    <w:name w:val="ListLabel 228"/>
    <w:qFormat/>
    <w:rPr>
      <w:rFonts w:cs="OpenSymbol"/>
    </w:rPr>
  </w:style>
  <w:style w:type="character" w:styleId="ListLabel229">
    <w:name w:val="ListLabel 229"/>
    <w:qFormat/>
    <w:rPr>
      <w:rFonts w:cs="OpenSymbol"/>
    </w:rPr>
  </w:style>
  <w:style w:type="character" w:styleId="ListLabel230">
    <w:name w:val="ListLabel 230"/>
    <w:qFormat/>
    <w:rPr>
      <w:rFonts w:cs="OpenSymbol"/>
    </w:rPr>
  </w:style>
  <w:style w:type="character" w:styleId="ListLabel231">
    <w:name w:val="ListLabel 231"/>
    <w:qFormat/>
    <w:rPr>
      <w:rFonts w:cs="OpenSymbol"/>
    </w:rPr>
  </w:style>
  <w:style w:type="character" w:styleId="ListLabel232">
    <w:name w:val="ListLabel 232"/>
    <w:qFormat/>
    <w:rPr>
      <w:rFonts w:cs="OpenSymbol"/>
    </w:rPr>
  </w:style>
  <w:style w:type="character" w:styleId="ListLabel233">
    <w:name w:val="ListLabel 233"/>
    <w:qFormat/>
    <w:rPr>
      <w:rFonts w:cs="OpenSymbol"/>
    </w:rPr>
  </w:style>
  <w:style w:type="character" w:styleId="ListLabel234">
    <w:name w:val="ListLabel 234"/>
    <w:qFormat/>
    <w:rPr>
      <w:rFonts w:cs="OpenSymbol"/>
    </w:rPr>
  </w:style>
  <w:style w:type="character" w:styleId="ListLabel235">
    <w:name w:val="ListLabel 235"/>
    <w:qFormat/>
    <w:rPr>
      <w:rFonts w:cs="OpenSymbol"/>
    </w:rPr>
  </w:style>
  <w:style w:type="character" w:styleId="ListLabel236">
    <w:name w:val="ListLabel 236"/>
    <w:qFormat/>
    <w:rPr>
      <w:rFonts w:cs="OpenSymbol"/>
    </w:rPr>
  </w:style>
  <w:style w:type="character" w:styleId="ListLabel237">
    <w:name w:val="ListLabel 237"/>
    <w:qFormat/>
    <w:rPr>
      <w:rFonts w:cs="OpenSymbol"/>
    </w:rPr>
  </w:style>
  <w:style w:type="character" w:styleId="ListLabel238">
    <w:name w:val="ListLabel 238"/>
    <w:qFormat/>
    <w:rPr>
      <w:rFonts w:cs="OpenSymbol"/>
    </w:rPr>
  </w:style>
  <w:style w:type="character" w:styleId="ListLabel239">
    <w:name w:val="ListLabel 239"/>
    <w:qFormat/>
    <w:rPr>
      <w:rFonts w:cs="OpenSymbol"/>
    </w:rPr>
  </w:style>
  <w:style w:type="character" w:styleId="ListLabel240">
    <w:name w:val="ListLabel 240"/>
    <w:qFormat/>
    <w:rPr>
      <w:rFonts w:cs="OpenSymbol"/>
    </w:rPr>
  </w:style>
  <w:style w:type="character" w:styleId="ListLabel241">
    <w:name w:val="ListLabel 241"/>
    <w:qFormat/>
    <w:rPr>
      <w:rFonts w:cs="OpenSymbol"/>
    </w:rPr>
  </w:style>
  <w:style w:type="character" w:styleId="ListLabel242">
    <w:name w:val="ListLabel 242"/>
    <w:qFormat/>
    <w:rPr>
      <w:rFonts w:cs="OpenSymbol"/>
    </w:rPr>
  </w:style>
  <w:style w:type="character" w:styleId="ListLabel243">
    <w:name w:val="ListLabel 243"/>
    <w:qFormat/>
    <w:rPr>
      <w:rFonts w:cs="OpenSymbol"/>
    </w:rPr>
  </w:style>
  <w:style w:type="character" w:styleId="ListLabel244">
    <w:name w:val="ListLabel 244"/>
    <w:qFormat/>
    <w:rPr>
      <w:rFonts w:cs="OpenSymbol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</w:rPr>
  </w:style>
  <w:style w:type="character" w:styleId="ListLabel255">
    <w:name w:val="ListLabel 255"/>
    <w:qFormat/>
    <w:rPr>
      <w:rFonts w:cs="OpenSymbol"/>
    </w:rPr>
  </w:style>
  <w:style w:type="character" w:styleId="ListLabel256">
    <w:name w:val="ListLabel 256"/>
    <w:qFormat/>
    <w:rPr>
      <w:rFonts w:cs="OpenSymbol"/>
    </w:rPr>
  </w:style>
  <w:style w:type="character" w:styleId="ListLabel257">
    <w:name w:val="ListLabel 257"/>
    <w:qFormat/>
    <w:rPr>
      <w:rFonts w:cs="OpenSymbol"/>
    </w:rPr>
  </w:style>
  <w:style w:type="character" w:styleId="ListLabel258">
    <w:name w:val="ListLabel 258"/>
    <w:qFormat/>
    <w:rPr>
      <w:rFonts w:cs="OpenSymbol"/>
    </w:rPr>
  </w:style>
  <w:style w:type="character" w:styleId="ListLabel259">
    <w:name w:val="ListLabel 259"/>
    <w:qFormat/>
    <w:rPr>
      <w:rFonts w:cs="OpenSymbol"/>
    </w:rPr>
  </w:style>
  <w:style w:type="character" w:styleId="ListLabel260">
    <w:name w:val="ListLabel 260"/>
    <w:qFormat/>
    <w:rPr>
      <w:rFonts w:cs="OpenSymbol"/>
    </w:rPr>
  </w:style>
  <w:style w:type="character" w:styleId="ListLabel261">
    <w:name w:val="ListLabel 261"/>
    <w:qFormat/>
    <w:rPr>
      <w:rFonts w:cs="OpenSymbol"/>
    </w:rPr>
  </w:style>
  <w:style w:type="character" w:styleId="ListLabel262">
    <w:name w:val="ListLabel 262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263">
    <w:name w:val="ListLabel 263"/>
    <w:qFormat/>
    <w:rPr>
      <w:rFonts w:ascii="Trebuchet MS" w:hAnsi="Trebuchet MS" w:cs="Trebuchet MS"/>
      <w:sz w:val="24"/>
      <w:szCs w:val="24"/>
      <w:u w:val="none"/>
      <w:lang w:val="en-US"/>
    </w:rPr>
  </w:style>
  <w:style w:type="character" w:styleId="ListLabel264">
    <w:name w:val="ListLabel 264"/>
    <w:qFormat/>
    <w:rPr>
      <w:rFonts w:ascii="Trebuchet MS" w:hAnsi="Trebuchet MS"/>
      <w:sz w:val="24"/>
      <w:szCs w:val="24"/>
    </w:rPr>
  </w:style>
  <w:style w:type="character" w:styleId="ListLabel265">
    <w:name w:val="ListLabel 265"/>
    <w:qFormat/>
    <w:rPr>
      <w:rFonts w:cs="OpenSymbol"/>
    </w:rPr>
  </w:style>
  <w:style w:type="character" w:styleId="ListLabel266">
    <w:name w:val="ListLabel 266"/>
    <w:qFormat/>
    <w:rPr>
      <w:rFonts w:cs="OpenSymbol"/>
    </w:rPr>
  </w:style>
  <w:style w:type="character" w:styleId="ListLabel267">
    <w:name w:val="ListLabel 267"/>
    <w:qFormat/>
    <w:rPr>
      <w:rFonts w:cs="OpenSymbol"/>
    </w:rPr>
  </w:style>
  <w:style w:type="character" w:styleId="ListLabel268">
    <w:name w:val="ListLabel 268"/>
    <w:qFormat/>
    <w:rPr>
      <w:rFonts w:cs="OpenSymbol"/>
    </w:rPr>
  </w:style>
  <w:style w:type="character" w:styleId="ListLabel269">
    <w:name w:val="ListLabel 269"/>
    <w:qFormat/>
    <w:rPr>
      <w:rFonts w:cs="OpenSymbol"/>
    </w:rPr>
  </w:style>
  <w:style w:type="character" w:styleId="ListLabel270">
    <w:name w:val="ListLabel 270"/>
    <w:qFormat/>
    <w:rPr>
      <w:rFonts w:cs="OpenSymbol"/>
    </w:rPr>
  </w:style>
  <w:style w:type="character" w:styleId="ListLabel271">
    <w:name w:val="ListLabel 271"/>
    <w:qFormat/>
    <w:rPr>
      <w:rFonts w:cs="OpenSymbol"/>
    </w:rPr>
  </w:style>
  <w:style w:type="character" w:styleId="ListLabel272">
    <w:name w:val="ListLabel 272"/>
    <w:qFormat/>
    <w:rPr>
      <w:rFonts w:cs="OpenSymbol"/>
    </w:rPr>
  </w:style>
  <w:style w:type="character" w:styleId="ListLabel273">
    <w:name w:val="ListLabel 273"/>
    <w:qFormat/>
    <w:rPr>
      <w:rFonts w:cs="OpenSymbol"/>
    </w:rPr>
  </w:style>
  <w:style w:type="character" w:styleId="ListLabel274">
    <w:name w:val="ListLabel 274"/>
    <w:qFormat/>
    <w:rPr>
      <w:rFonts w:cs="OpenSymbol"/>
    </w:rPr>
  </w:style>
  <w:style w:type="character" w:styleId="ListLabel275">
    <w:name w:val="ListLabel 275"/>
    <w:qFormat/>
    <w:rPr>
      <w:rFonts w:cs="OpenSymbol"/>
    </w:rPr>
  </w:style>
  <w:style w:type="character" w:styleId="ListLabel276">
    <w:name w:val="ListLabel 276"/>
    <w:qFormat/>
    <w:rPr>
      <w:rFonts w:cs="OpenSymbol"/>
    </w:rPr>
  </w:style>
  <w:style w:type="character" w:styleId="ListLabel277">
    <w:name w:val="ListLabel 277"/>
    <w:qFormat/>
    <w:rPr>
      <w:rFonts w:cs="OpenSymbol"/>
    </w:rPr>
  </w:style>
  <w:style w:type="character" w:styleId="ListLabel278">
    <w:name w:val="ListLabel 278"/>
    <w:qFormat/>
    <w:rPr>
      <w:rFonts w:cs="OpenSymbol"/>
    </w:rPr>
  </w:style>
  <w:style w:type="character" w:styleId="ListLabel279">
    <w:name w:val="ListLabel 279"/>
    <w:qFormat/>
    <w:rPr>
      <w:rFonts w:cs="OpenSymbol"/>
    </w:rPr>
  </w:style>
  <w:style w:type="character" w:styleId="ListLabel280">
    <w:name w:val="ListLabel 280"/>
    <w:qFormat/>
    <w:rPr>
      <w:rFonts w:cs="OpenSymbol"/>
    </w:rPr>
  </w:style>
  <w:style w:type="character" w:styleId="ListLabel281">
    <w:name w:val="ListLabel 281"/>
    <w:qFormat/>
    <w:rPr>
      <w:rFonts w:cs="OpenSymbol"/>
    </w:rPr>
  </w:style>
  <w:style w:type="character" w:styleId="ListLabel282">
    <w:name w:val="ListLabel 282"/>
    <w:qFormat/>
    <w:rPr>
      <w:rFonts w:cs="OpenSymbol"/>
    </w:rPr>
  </w:style>
  <w:style w:type="character" w:styleId="ListLabel283">
    <w:name w:val="ListLabel 283"/>
    <w:qFormat/>
    <w:rPr>
      <w:rFonts w:cs="OpenSymbol"/>
    </w:rPr>
  </w:style>
  <w:style w:type="character" w:styleId="ListLabel284">
    <w:name w:val="ListLabel 284"/>
    <w:qFormat/>
    <w:rPr>
      <w:rFonts w:cs="OpenSymbol"/>
    </w:rPr>
  </w:style>
  <w:style w:type="character" w:styleId="ListLabel285">
    <w:name w:val="ListLabel 285"/>
    <w:qFormat/>
    <w:rPr>
      <w:rFonts w:cs="OpenSymbol"/>
    </w:rPr>
  </w:style>
  <w:style w:type="character" w:styleId="ListLabel286">
    <w:name w:val="ListLabel 286"/>
    <w:qFormat/>
    <w:rPr>
      <w:rFonts w:cs="OpenSymbol"/>
    </w:rPr>
  </w:style>
  <w:style w:type="character" w:styleId="ListLabel287">
    <w:name w:val="ListLabel 287"/>
    <w:qFormat/>
    <w:rPr>
      <w:rFonts w:cs="OpenSymbol"/>
    </w:rPr>
  </w:style>
  <w:style w:type="character" w:styleId="ListLabel288">
    <w:name w:val="ListLabel 288"/>
    <w:qFormat/>
    <w:rPr>
      <w:rFonts w:cs="OpenSymbol"/>
    </w:rPr>
  </w:style>
  <w:style w:type="character" w:styleId="ListLabel289">
    <w:name w:val="ListLabel 289"/>
    <w:qFormat/>
    <w:rPr>
      <w:rFonts w:cs="OpenSymbol"/>
    </w:rPr>
  </w:style>
  <w:style w:type="character" w:styleId="ListLabel290">
    <w:name w:val="ListLabel 290"/>
    <w:qFormat/>
    <w:rPr>
      <w:rFonts w:cs="OpenSymbol"/>
    </w:rPr>
  </w:style>
  <w:style w:type="character" w:styleId="ListLabel291">
    <w:name w:val="ListLabel 291"/>
    <w:qFormat/>
    <w:rPr>
      <w:rFonts w:cs="OpenSymbol"/>
    </w:rPr>
  </w:style>
  <w:style w:type="character" w:styleId="ListLabel292">
    <w:name w:val="ListLabel 292"/>
    <w:qFormat/>
    <w:rPr>
      <w:rFonts w:cs="OpenSymbol"/>
    </w:rPr>
  </w:style>
  <w:style w:type="character" w:styleId="ListLabel293">
    <w:name w:val="ListLabel 293"/>
    <w:qFormat/>
    <w:rPr>
      <w:rFonts w:cs="OpenSymbol"/>
    </w:rPr>
  </w:style>
  <w:style w:type="character" w:styleId="ListLabel294">
    <w:name w:val="ListLabel 294"/>
    <w:qFormat/>
    <w:rPr>
      <w:rFonts w:cs="OpenSymbol"/>
    </w:rPr>
  </w:style>
  <w:style w:type="character" w:styleId="ListLabel295">
    <w:name w:val="ListLabel 295"/>
    <w:qFormat/>
    <w:rPr>
      <w:rFonts w:cs="OpenSymbol"/>
    </w:rPr>
  </w:style>
  <w:style w:type="character" w:styleId="ListLabel296">
    <w:name w:val="ListLabel 296"/>
    <w:qFormat/>
    <w:rPr>
      <w:rFonts w:cs="OpenSymbol"/>
    </w:rPr>
  </w:style>
  <w:style w:type="character" w:styleId="ListLabel297">
    <w:name w:val="ListLabel 297"/>
    <w:qFormat/>
    <w:rPr>
      <w:rFonts w:cs="OpenSymbol"/>
    </w:rPr>
  </w:style>
  <w:style w:type="character" w:styleId="ListLabel298">
    <w:name w:val="ListLabel 298"/>
    <w:qFormat/>
    <w:rPr>
      <w:rFonts w:cs="OpenSymbol"/>
    </w:rPr>
  </w:style>
  <w:style w:type="character" w:styleId="ListLabel299">
    <w:name w:val="ListLabel 299"/>
    <w:qFormat/>
    <w:rPr>
      <w:rFonts w:cs="OpenSymbol"/>
    </w:rPr>
  </w:style>
  <w:style w:type="character" w:styleId="ListLabel300">
    <w:name w:val="ListLabel 300"/>
    <w:qFormat/>
    <w:rPr>
      <w:rFonts w:cs="OpenSymbol"/>
    </w:rPr>
  </w:style>
  <w:style w:type="character" w:styleId="ListLabel301">
    <w:name w:val="ListLabel 301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302">
    <w:name w:val="ListLabel 302"/>
    <w:qFormat/>
    <w:rPr>
      <w:rFonts w:ascii="Trebuchet MS" w:hAnsi="Trebuchet MS" w:cs="Trebuchet MS"/>
      <w:sz w:val="24"/>
      <w:szCs w:val="24"/>
      <w:u w:val="none"/>
      <w:lang w:val="en-US"/>
    </w:rPr>
  </w:style>
  <w:style w:type="character" w:styleId="ListLabel303">
    <w:name w:val="ListLabel 303"/>
    <w:qFormat/>
    <w:rPr>
      <w:rFonts w:ascii="Trebuchet MS" w:hAnsi="Trebuchet MS"/>
      <w:sz w:val="24"/>
      <w:szCs w:val="24"/>
    </w:rPr>
  </w:style>
  <w:style w:type="character" w:styleId="ListLabel304">
    <w:name w:val="ListLabel 304"/>
    <w:qFormat/>
    <w:rPr>
      <w:rFonts w:cs="OpenSymbol"/>
    </w:rPr>
  </w:style>
  <w:style w:type="character" w:styleId="ListLabel305">
    <w:name w:val="ListLabel 305"/>
    <w:qFormat/>
    <w:rPr>
      <w:rFonts w:cs="OpenSymbol"/>
    </w:rPr>
  </w:style>
  <w:style w:type="character" w:styleId="ListLabel306">
    <w:name w:val="ListLabel 306"/>
    <w:qFormat/>
    <w:rPr>
      <w:rFonts w:cs="OpenSymbol"/>
    </w:rPr>
  </w:style>
  <w:style w:type="character" w:styleId="ListLabel307">
    <w:name w:val="ListLabel 307"/>
    <w:qFormat/>
    <w:rPr>
      <w:rFonts w:cs="OpenSymbol"/>
    </w:rPr>
  </w:style>
  <w:style w:type="character" w:styleId="ListLabel308">
    <w:name w:val="ListLabel 308"/>
    <w:qFormat/>
    <w:rPr>
      <w:rFonts w:cs="OpenSymbol"/>
    </w:rPr>
  </w:style>
  <w:style w:type="character" w:styleId="ListLabel309">
    <w:name w:val="ListLabel 309"/>
    <w:qFormat/>
    <w:rPr>
      <w:rFonts w:cs="OpenSymbol"/>
    </w:rPr>
  </w:style>
  <w:style w:type="character" w:styleId="ListLabel310">
    <w:name w:val="ListLabel 310"/>
    <w:qFormat/>
    <w:rPr>
      <w:rFonts w:cs="OpenSymbol"/>
    </w:rPr>
  </w:style>
  <w:style w:type="character" w:styleId="ListLabel311">
    <w:name w:val="ListLabel 311"/>
    <w:qFormat/>
    <w:rPr>
      <w:rFonts w:cs="OpenSymbol"/>
    </w:rPr>
  </w:style>
  <w:style w:type="character" w:styleId="ListLabel312">
    <w:name w:val="ListLabel 312"/>
    <w:qFormat/>
    <w:rPr>
      <w:rFonts w:cs="OpenSymbol"/>
    </w:rPr>
  </w:style>
  <w:style w:type="character" w:styleId="ListLabel313">
    <w:name w:val="ListLabel 313"/>
    <w:qFormat/>
    <w:rPr>
      <w:rFonts w:cs="OpenSymbol"/>
    </w:rPr>
  </w:style>
  <w:style w:type="character" w:styleId="ListLabel314">
    <w:name w:val="ListLabel 314"/>
    <w:qFormat/>
    <w:rPr>
      <w:rFonts w:cs="OpenSymbol"/>
    </w:rPr>
  </w:style>
  <w:style w:type="character" w:styleId="ListLabel315">
    <w:name w:val="ListLabel 315"/>
    <w:qFormat/>
    <w:rPr>
      <w:rFonts w:cs="OpenSymbol"/>
    </w:rPr>
  </w:style>
  <w:style w:type="character" w:styleId="ListLabel316">
    <w:name w:val="ListLabel 316"/>
    <w:qFormat/>
    <w:rPr>
      <w:rFonts w:cs="OpenSymbol"/>
    </w:rPr>
  </w:style>
  <w:style w:type="character" w:styleId="ListLabel317">
    <w:name w:val="ListLabel 317"/>
    <w:qFormat/>
    <w:rPr>
      <w:rFonts w:cs="OpenSymbol"/>
    </w:rPr>
  </w:style>
  <w:style w:type="character" w:styleId="ListLabel318">
    <w:name w:val="ListLabel 318"/>
    <w:qFormat/>
    <w:rPr>
      <w:rFonts w:cs="OpenSymbol"/>
    </w:rPr>
  </w:style>
  <w:style w:type="character" w:styleId="ListLabel319">
    <w:name w:val="ListLabel 319"/>
    <w:qFormat/>
    <w:rPr>
      <w:rFonts w:cs="OpenSymbol"/>
    </w:rPr>
  </w:style>
  <w:style w:type="character" w:styleId="ListLabel320">
    <w:name w:val="ListLabel 320"/>
    <w:qFormat/>
    <w:rPr>
      <w:rFonts w:cs="OpenSymbol"/>
    </w:rPr>
  </w:style>
  <w:style w:type="character" w:styleId="ListLabel321">
    <w:name w:val="ListLabel 321"/>
    <w:qFormat/>
    <w:rPr>
      <w:rFonts w:cs="OpenSymbol"/>
    </w:rPr>
  </w:style>
  <w:style w:type="character" w:styleId="ListLabel322">
    <w:name w:val="ListLabel 322"/>
    <w:qFormat/>
    <w:rPr>
      <w:rFonts w:cs="OpenSymbol"/>
    </w:rPr>
  </w:style>
  <w:style w:type="character" w:styleId="ListLabel323">
    <w:name w:val="ListLabel 323"/>
    <w:qFormat/>
    <w:rPr>
      <w:rFonts w:cs="OpenSymbol"/>
    </w:rPr>
  </w:style>
  <w:style w:type="character" w:styleId="ListLabel324">
    <w:name w:val="ListLabel 324"/>
    <w:qFormat/>
    <w:rPr>
      <w:rFonts w:cs="OpenSymbol"/>
    </w:rPr>
  </w:style>
  <w:style w:type="character" w:styleId="ListLabel325">
    <w:name w:val="ListLabel 325"/>
    <w:qFormat/>
    <w:rPr>
      <w:rFonts w:cs="OpenSymbol"/>
    </w:rPr>
  </w:style>
  <w:style w:type="character" w:styleId="ListLabel326">
    <w:name w:val="ListLabel 326"/>
    <w:qFormat/>
    <w:rPr>
      <w:rFonts w:cs="OpenSymbol"/>
    </w:rPr>
  </w:style>
  <w:style w:type="character" w:styleId="ListLabel327">
    <w:name w:val="ListLabel 327"/>
    <w:qFormat/>
    <w:rPr>
      <w:rFonts w:cs="OpenSymbol"/>
    </w:rPr>
  </w:style>
  <w:style w:type="character" w:styleId="ListLabel328">
    <w:name w:val="ListLabel 328"/>
    <w:qFormat/>
    <w:rPr>
      <w:rFonts w:cs="OpenSymbol"/>
    </w:rPr>
  </w:style>
  <w:style w:type="character" w:styleId="ListLabel329">
    <w:name w:val="ListLabel 329"/>
    <w:qFormat/>
    <w:rPr>
      <w:rFonts w:cs="OpenSymbol"/>
    </w:rPr>
  </w:style>
  <w:style w:type="character" w:styleId="ListLabel330">
    <w:name w:val="ListLabel 330"/>
    <w:qFormat/>
    <w:rPr>
      <w:rFonts w:cs="OpenSymbol"/>
    </w:rPr>
  </w:style>
  <w:style w:type="character" w:styleId="ListLabel331">
    <w:name w:val="ListLabel 331"/>
    <w:qFormat/>
    <w:rPr>
      <w:rFonts w:cs="OpenSymbol"/>
    </w:rPr>
  </w:style>
  <w:style w:type="character" w:styleId="ListLabel332">
    <w:name w:val="ListLabel 332"/>
    <w:qFormat/>
    <w:rPr>
      <w:rFonts w:cs="OpenSymbol"/>
    </w:rPr>
  </w:style>
  <w:style w:type="character" w:styleId="ListLabel333">
    <w:name w:val="ListLabel 333"/>
    <w:qFormat/>
    <w:rPr>
      <w:rFonts w:cs="OpenSymbol"/>
    </w:rPr>
  </w:style>
  <w:style w:type="character" w:styleId="ListLabel334">
    <w:name w:val="ListLabel 334"/>
    <w:qFormat/>
    <w:rPr>
      <w:rFonts w:cs="OpenSymbol"/>
    </w:rPr>
  </w:style>
  <w:style w:type="character" w:styleId="ListLabel335">
    <w:name w:val="ListLabel 335"/>
    <w:qFormat/>
    <w:rPr>
      <w:rFonts w:cs="OpenSymbol"/>
    </w:rPr>
  </w:style>
  <w:style w:type="character" w:styleId="ListLabel336">
    <w:name w:val="ListLabel 336"/>
    <w:qFormat/>
    <w:rPr>
      <w:rFonts w:cs="OpenSymbol"/>
    </w:rPr>
  </w:style>
  <w:style w:type="character" w:styleId="ListLabel337">
    <w:name w:val="ListLabel 337"/>
    <w:qFormat/>
    <w:rPr>
      <w:rFonts w:cs="OpenSymbol"/>
    </w:rPr>
  </w:style>
  <w:style w:type="character" w:styleId="ListLabel338">
    <w:name w:val="ListLabel 338"/>
    <w:qFormat/>
    <w:rPr>
      <w:rFonts w:cs="OpenSymbol"/>
    </w:rPr>
  </w:style>
  <w:style w:type="character" w:styleId="ListLabel339">
    <w:name w:val="ListLabel 339"/>
    <w:qFormat/>
    <w:rPr>
      <w:rFonts w:cs="OpenSymbol"/>
    </w:rPr>
  </w:style>
  <w:style w:type="character" w:styleId="ListLabel340">
    <w:name w:val="ListLabel 340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341">
    <w:name w:val="ListLabel 341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n-US"/>
    </w:rPr>
  </w:style>
  <w:style w:type="character" w:styleId="ListLabel342">
    <w:name w:val="ListLabel 342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l-GR"/>
    </w:rPr>
  </w:style>
  <w:style w:type="character" w:styleId="ListLabel343">
    <w:name w:val="ListLabel 343"/>
    <w:qFormat/>
    <w:rPr>
      <w:rFonts w:ascii="Trebuchet MS" w:hAnsi="Trebuchet MS" w:cs="Trebuchet MS"/>
      <w:sz w:val="24"/>
      <w:szCs w:val="24"/>
      <w:u w:val="none"/>
      <w:lang w:val="en-US"/>
    </w:rPr>
  </w:style>
  <w:style w:type="character" w:styleId="ListLabel344">
    <w:name w:val="ListLabel 344"/>
    <w:qFormat/>
    <w:rPr>
      <w:rFonts w:ascii="Trebuchet MS" w:hAnsi="Trebuchet MS"/>
      <w:sz w:val="24"/>
      <w:szCs w:val="24"/>
    </w:rPr>
  </w:style>
  <w:style w:type="character" w:styleId="ListLabel345">
    <w:name w:val="ListLabel 345"/>
    <w:qFormat/>
    <w:rPr>
      <w:rFonts w:cs="OpenSymbol"/>
    </w:rPr>
  </w:style>
  <w:style w:type="character" w:styleId="ListLabel346">
    <w:name w:val="ListLabel 346"/>
    <w:qFormat/>
    <w:rPr>
      <w:rFonts w:cs="OpenSymbol"/>
    </w:rPr>
  </w:style>
  <w:style w:type="character" w:styleId="ListLabel347">
    <w:name w:val="ListLabel 347"/>
    <w:qFormat/>
    <w:rPr>
      <w:rFonts w:cs="OpenSymbol"/>
    </w:rPr>
  </w:style>
  <w:style w:type="character" w:styleId="ListLabel348">
    <w:name w:val="ListLabel 348"/>
    <w:qFormat/>
    <w:rPr>
      <w:rFonts w:cs="OpenSymbol"/>
    </w:rPr>
  </w:style>
  <w:style w:type="character" w:styleId="ListLabel349">
    <w:name w:val="ListLabel 349"/>
    <w:qFormat/>
    <w:rPr>
      <w:rFonts w:cs="OpenSymbol"/>
    </w:rPr>
  </w:style>
  <w:style w:type="character" w:styleId="ListLabel350">
    <w:name w:val="ListLabel 350"/>
    <w:qFormat/>
    <w:rPr>
      <w:rFonts w:cs="OpenSymbol"/>
    </w:rPr>
  </w:style>
  <w:style w:type="character" w:styleId="ListLabel351">
    <w:name w:val="ListLabel 351"/>
    <w:qFormat/>
    <w:rPr>
      <w:rFonts w:cs="OpenSymbol"/>
    </w:rPr>
  </w:style>
  <w:style w:type="character" w:styleId="ListLabel352">
    <w:name w:val="ListLabel 352"/>
    <w:qFormat/>
    <w:rPr>
      <w:rFonts w:cs="OpenSymbol"/>
    </w:rPr>
  </w:style>
  <w:style w:type="character" w:styleId="ListLabel353">
    <w:name w:val="ListLabel 353"/>
    <w:qFormat/>
    <w:rPr>
      <w:rFonts w:cs="OpenSymbol"/>
    </w:rPr>
  </w:style>
  <w:style w:type="character" w:styleId="ListLabel354">
    <w:name w:val="ListLabel 354"/>
    <w:qFormat/>
    <w:rPr>
      <w:rFonts w:cs="OpenSymbol"/>
    </w:rPr>
  </w:style>
  <w:style w:type="character" w:styleId="ListLabel355">
    <w:name w:val="ListLabel 355"/>
    <w:qFormat/>
    <w:rPr>
      <w:rFonts w:cs="OpenSymbol"/>
    </w:rPr>
  </w:style>
  <w:style w:type="character" w:styleId="ListLabel356">
    <w:name w:val="ListLabel 356"/>
    <w:qFormat/>
    <w:rPr>
      <w:rFonts w:cs="OpenSymbol"/>
    </w:rPr>
  </w:style>
  <w:style w:type="character" w:styleId="ListLabel357">
    <w:name w:val="ListLabel 357"/>
    <w:qFormat/>
    <w:rPr>
      <w:rFonts w:cs="OpenSymbol"/>
    </w:rPr>
  </w:style>
  <w:style w:type="character" w:styleId="ListLabel358">
    <w:name w:val="ListLabel 358"/>
    <w:qFormat/>
    <w:rPr>
      <w:rFonts w:cs="OpenSymbol"/>
    </w:rPr>
  </w:style>
  <w:style w:type="character" w:styleId="ListLabel359">
    <w:name w:val="ListLabel 359"/>
    <w:qFormat/>
    <w:rPr>
      <w:rFonts w:cs="OpenSymbol"/>
    </w:rPr>
  </w:style>
  <w:style w:type="character" w:styleId="ListLabel360">
    <w:name w:val="ListLabel 360"/>
    <w:qFormat/>
    <w:rPr>
      <w:rFonts w:cs="OpenSymbol"/>
    </w:rPr>
  </w:style>
  <w:style w:type="character" w:styleId="ListLabel361">
    <w:name w:val="ListLabel 361"/>
    <w:qFormat/>
    <w:rPr>
      <w:rFonts w:cs="OpenSymbol"/>
    </w:rPr>
  </w:style>
  <w:style w:type="character" w:styleId="ListLabel362">
    <w:name w:val="ListLabel 362"/>
    <w:qFormat/>
    <w:rPr>
      <w:rFonts w:cs="OpenSymbol"/>
    </w:rPr>
  </w:style>
  <w:style w:type="character" w:styleId="ListLabel363">
    <w:name w:val="ListLabel 363"/>
    <w:qFormat/>
    <w:rPr>
      <w:rFonts w:cs="OpenSymbol"/>
    </w:rPr>
  </w:style>
  <w:style w:type="character" w:styleId="ListLabel364">
    <w:name w:val="ListLabel 364"/>
    <w:qFormat/>
    <w:rPr>
      <w:rFonts w:cs="OpenSymbol"/>
    </w:rPr>
  </w:style>
  <w:style w:type="character" w:styleId="ListLabel365">
    <w:name w:val="ListLabel 365"/>
    <w:qFormat/>
    <w:rPr>
      <w:rFonts w:cs="OpenSymbol"/>
    </w:rPr>
  </w:style>
  <w:style w:type="character" w:styleId="ListLabel366">
    <w:name w:val="ListLabel 366"/>
    <w:qFormat/>
    <w:rPr>
      <w:rFonts w:cs="OpenSymbol"/>
    </w:rPr>
  </w:style>
  <w:style w:type="character" w:styleId="ListLabel367">
    <w:name w:val="ListLabel 367"/>
    <w:qFormat/>
    <w:rPr>
      <w:rFonts w:cs="OpenSymbol"/>
    </w:rPr>
  </w:style>
  <w:style w:type="character" w:styleId="ListLabel368">
    <w:name w:val="ListLabel 368"/>
    <w:qFormat/>
    <w:rPr>
      <w:rFonts w:cs="OpenSymbol"/>
    </w:rPr>
  </w:style>
  <w:style w:type="character" w:styleId="ListLabel369">
    <w:name w:val="ListLabel 369"/>
    <w:qFormat/>
    <w:rPr>
      <w:rFonts w:cs="OpenSymbol"/>
    </w:rPr>
  </w:style>
  <w:style w:type="character" w:styleId="ListLabel370">
    <w:name w:val="ListLabel 370"/>
    <w:qFormat/>
    <w:rPr>
      <w:rFonts w:cs="OpenSymbol"/>
    </w:rPr>
  </w:style>
  <w:style w:type="character" w:styleId="ListLabel371">
    <w:name w:val="ListLabel 371"/>
    <w:qFormat/>
    <w:rPr>
      <w:rFonts w:cs="OpenSymbol"/>
    </w:rPr>
  </w:style>
  <w:style w:type="character" w:styleId="ListLabel372">
    <w:name w:val="ListLabel 372"/>
    <w:qFormat/>
    <w:rPr>
      <w:rFonts w:cs="OpenSymbol"/>
    </w:rPr>
  </w:style>
  <w:style w:type="character" w:styleId="ListLabel373">
    <w:name w:val="ListLabel 373"/>
    <w:qFormat/>
    <w:rPr>
      <w:rFonts w:cs="OpenSymbol"/>
    </w:rPr>
  </w:style>
  <w:style w:type="character" w:styleId="ListLabel374">
    <w:name w:val="ListLabel 374"/>
    <w:qFormat/>
    <w:rPr>
      <w:rFonts w:cs="OpenSymbol"/>
    </w:rPr>
  </w:style>
  <w:style w:type="character" w:styleId="ListLabel375">
    <w:name w:val="ListLabel 375"/>
    <w:qFormat/>
    <w:rPr>
      <w:rFonts w:cs="OpenSymbol"/>
    </w:rPr>
  </w:style>
  <w:style w:type="character" w:styleId="ListLabel376">
    <w:name w:val="ListLabel 376"/>
    <w:qFormat/>
    <w:rPr>
      <w:rFonts w:cs="OpenSymbol"/>
    </w:rPr>
  </w:style>
  <w:style w:type="character" w:styleId="ListLabel377">
    <w:name w:val="ListLabel 377"/>
    <w:qFormat/>
    <w:rPr>
      <w:rFonts w:cs="OpenSymbol"/>
    </w:rPr>
  </w:style>
  <w:style w:type="character" w:styleId="ListLabel378">
    <w:name w:val="ListLabel 378"/>
    <w:qFormat/>
    <w:rPr>
      <w:rFonts w:cs="OpenSymbol"/>
    </w:rPr>
  </w:style>
  <w:style w:type="character" w:styleId="ListLabel379">
    <w:name w:val="ListLabel 379"/>
    <w:qFormat/>
    <w:rPr>
      <w:rFonts w:cs="OpenSymbol"/>
    </w:rPr>
  </w:style>
  <w:style w:type="character" w:styleId="ListLabel380">
    <w:name w:val="ListLabel 380"/>
    <w:qFormat/>
    <w:rPr>
      <w:rFonts w:cs="OpenSymbol"/>
    </w:rPr>
  </w:style>
  <w:style w:type="character" w:styleId="ListLabel381">
    <w:name w:val="ListLabel 381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382">
    <w:name w:val="ListLabel 382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n-US"/>
    </w:rPr>
  </w:style>
  <w:style w:type="character" w:styleId="ListLabel383">
    <w:name w:val="ListLabel 383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l-GR"/>
    </w:rPr>
  </w:style>
  <w:style w:type="character" w:styleId="ListLabel384">
    <w:name w:val="ListLabel 384"/>
    <w:qFormat/>
    <w:rPr>
      <w:rFonts w:ascii="Trebuchet MS" w:hAnsi="Trebuchet MS" w:cs="Trebuchet MS"/>
      <w:sz w:val="24"/>
      <w:szCs w:val="24"/>
      <w:u w:val="none"/>
      <w:lang w:val="en-US"/>
    </w:rPr>
  </w:style>
  <w:style w:type="character" w:styleId="ListLabel385">
    <w:name w:val="ListLabel 385"/>
    <w:qFormat/>
    <w:rPr>
      <w:rFonts w:ascii="Trebuchet MS" w:hAnsi="Trebuchet MS"/>
      <w:sz w:val="24"/>
      <w:szCs w:val="24"/>
    </w:rPr>
  </w:style>
  <w:style w:type="character" w:styleId="ListLabel386">
    <w:name w:val="ListLabel 386"/>
    <w:qFormat/>
    <w:rPr>
      <w:rFonts w:cs="OpenSymbol"/>
    </w:rPr>
  </w:style>
  <w:style w:type="character" w:styleId="ListLabel387">
    <w:name w:val="ListLabel 387"/>
    <w:qFormat/>
    <w:rPr>
      <w:rFonts w:cs="OpenSymbol"/>
    </w:rPr>
  </w:style>
  <w:style w:type="character" w:styleId="ListLabel388">
    <w:name w:val="ListLabel 388"/>
    <w:qFormat/>
    <w:rPr>
      <w:rFonts w:cs="OpenSymbol"/>
    </w:rPr>
  </w:style>
  <w:style w:type="character" w:styleId="ListLabel389">
    <w:name w:val="ListLabel 389"/>
    <w:qFormat/>
    <w:rPr>
      <w:rFonts w:cs="OpenSymbol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character" w:styleId="ListLabel399">
    <w:name w:val="ListLabel 399"/>
    <w:qFormat/>
    <w:rPr>
      <w:rFonts w:cs="OpenSymbol"/>
    </w:rPr>
  </w:style>
  <w:style w:type="character" w:styleId="ListLabel400">
    <w:name w:val="ListLabel 400"/>
    <w:qFormat/>
    <w:rPr>
      <w:rFonts w:cs="OpenSymbol"/>
    </w:rPr>
  </w:style>
  <w:style w:type="character" w:styleId="ListLabel401">
    <w:name w:val="ListLabel 401"/>
    <w:qFormat/>
    <w:rPr>
      <w:rFonts w:cs="OpenSymbol"/>
    </w:rPr>
  </w:style>
  <w:style w:type="character" w:styleId="ListLabel402">
    <w:name w:val="ListLabel 402"/>
    <w:qFormat/>
    <w:rPr>
      <w:rFonts w:cs="OpenSymbol"/>
    </w:rPr>
  </w:style>
  <w:style w:type="character" w:styleId="ListLabel403">
    <w:name w:val="ListLabel 403"/>
    <w:qFormat/>
    <w:rPr>
      <w:rFonts w:cs="OpenSymbol"/>
    </w:rPr>
  </w:style>
  <w:style w:type="character" w:styleId="ListLabel404">
    <w:name w:val="ListLabel 404"/>
    <w:qFormat/>
    <w:rPr>
      <w:rFonts w:cs="OpenSymbol"/>
    </w:rPr>
  </w:style>
  <w:style w:type="character" w:styleId="ListLabel405">
    <w:name w:val="ListLabel 405"/>
    <w:qFormat/>
    <w:rPr>
      <w:rFonts w:cs="OpenSymbol"/>
    </w:rPr>
  </w:style>
  <w:style w:type="character" w:styleId="ListLabel406">
    <w:name w:val="ListLabel 406"/>
    <w:qFormat/>
    <w:rPr>
      <w:rFonts w:cs="OpenSymbol"/>
    </w:rPr>
  </w:style>
  <w:style w:type="character" w:styleId="ListLabel407">
    <w:name w:val="ListLabel 407"/>
    <w:qFormat/>
    <w:rPr>
      <w:rFonts w:cs="OpenSymbol"/>
    </w:rPr>
  </w:style>
  <w:style w:type="character" w:styleId="ListLabel408">
    <w:name w:val="ListLabel 408"/>
    <w:qFormat/>
    <w:rPr>
      <w:rFonts w:cs="OpenSymbol"/>
    </w:rPr>
  </w:style>
  <w:style w:type="character" w:styleId="ListLabel409">
    <w:name w:val="ListLabel 409"/>
    <w:qFormat/>
    <w:rPr>
      <w:rFonts w:cs="OpenSymbol"/>
    </w:rPr>
  </w:style>
  <w:style w:type="character" w:styleId="ListLabel410">
    <w:name w:val="ListLabel 410"/>
    <w:qFormat/>
    <w:rPr>
      <w:rFonts w:cs="OpenSymbol"/>
    </w:rPr>
  </w:style>
  <w:style w:type="character" w:styleId="ListLabel411">
    <w:name w:val="ListLabel 411"/>
    <w:qFormat/>
    <w:rPr>
      <w:rFonts w:cs="OpenSymbol"/>
    </w:rPr>
  </w:style>
  <w:style w:type="character" w:styleId="ListLabel412">
    <w:name w:val="ListLabel 412"/>
    <w:qFormat/>
    <w:rPr>
      <w:rFonts w:cs="OpenSymbol"/>
    </w:rPr>
  </w:style>
  <w:style w:type="character" w:styleId="ListLabel413">
    <w:name w:val="ListLabel 413"/>
    <w:qFormat/>
    <w:rPr>
      <w:rFonts w:cs="OpenSymbol"/>
    </w:rPr>
  </w:style>
  <w:style w:type="character" w:styleId="ListLabel414">
    <w:name w:val="ListLabel 414"/>
    <w:qFormat/>
    <w:rPr>
      <w:rFonts w:cs="OpenSymbol"/>
    </w:rPr>
  </w:style>
  <w:style w:type="character" w:styleId="ListLabel415">
    <w:name w:val="ListLabel 415"/>
    <w:qFormat/>
    <w:rPr>
      <w:rFonts w:cs="OpenSymbol"/>
    </w:rPr>
  </w:style>
  <w:style w:type="character" w:styleId="ListLabel416">
    <w:name w:val="ListLabel 416"/>
    <w:qFormat/>
    <w:rPr>
      <w:rFonts w:cs="OpenSymbol"/>
    </w:rPr>
  </w:style>
  <w:style w:type="character" w:styleId="ListLabel417">
    <w:name w:val="ListLabel 417"/>
    <w:qFormat/>
    <w:rPr>
      <w:rFonts w:cs="OpenSymbol"/>
    </w:rPr>
  </w:style>
  <w:style w:type="character" w:styleId="ListLabel418">
    <w:name w:val="ListLabel 418"/>
    <w:qFormat/>
    <w:rPr>
      <w:rFonts w:cs="OpenSymbol"/>
    </w:rPr>
  </w:style>
  <w:style w:type="character" w:styleId="ListLabel419">
    <w:name w:val="ListLabel 419"/>
    <w:qFormat/>
    <w:rPr>
      <w:rFonts w:cs="OpenSymbol"/>
    </w:rPr>
  </w:style>
  <w:style w:type="character" w:styleId="ListLabel420">
    <w:name w:val="ListLabel 420"/>
    <w:qFormat/>
    <w:rPr>
      <w:rFonts w:cs="OpenSymbol"/>
    </w:rPr>
  </w:style>
  <w:style w:type="character" w:styleId="ListLabel421">
    <w:name w:val="ListLabel 421"/>
    <w:qFormat/>
    <w:rPr>
      <w:rFonts w:cs="OpenSymbol"/>
    </w:rPr>
  </w:style>
  <w:style w:type="character" w:styleId="ListLabel422">
    <w:name w:val="ListLabel 422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423">
    <w:name w:val="ListLabel 423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n-US"/>
    </w:rPr>
  </w:style>
  <w:style w:type="character" w:styleId="ListLabel424">
    <w:name w:val="ListLabel 424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l-GR"/>
    </w:rPr>
  </w:style>
  <w:style w:type="character" w:styleId="ListLabel425">
    <w:name w:val="ListLabel 425"/>
    <w:qFormat/>
    <w:rPr>
      <w:rFonts w:ascii="Trebuchet MS" w:hAnsi="Trebuchet MS" w:cs="Trebuchet MS"/>
      <w:sz w:val="24"/>
      <w:szCs w:val="24"/>
      <w:u w:val="none"/>
      <w:lang w:val="en-US"/>
    </w:rPr>
  </w:style>
  <w:style w:type="character" w:styleId="ListLabel426">
    <w:name w:val="ListLabel 426"/>
    <w:qFormat/>
    <w:rPr>
      <w:rFonts w:ascii="Trebuchet MS" w:hAnsi="Trebuchet MS"/>
      <w:sz w:val="24"/>
      <w:szCs w:val="24"/>
    </w:rPr>
  </w:style>
  <w:style w:type="character" w:styleId="ListLabel427">
    <w:name w:val="ListLabel 427"/>
    <w:qFormat/>
    <w:rPr>
      <w:rFonts w:cs="OpenSymbol"/>
    </w:rPr>
  </w:style>
  <w:style w:type="character" w:styleId="ListLabel428">
    <w:name w:val="ListLabel 428"/>
    <w:qFormat/>
    <w:rPr>
      <w:rFonts w:cs="OpenSymbol"/>
    </w:rPr>
  </w:style>
  <w:style w:type="character" w:styleId="ListLabel429">
    <w:name w:val="ListLabel 429"/>
    <w:qFormat/>
    <w:rPr>
      <w:rFonts w:cs="OpenSymbol"/>
    </w:rPr>
  </w:style>
  <w:style w:type="character" w:styleId="ListLabel430">
    <w:name w:val="ListLabel 430"/>
    <w:qFormat/>
    <w:rPr>
      <w:rFonts w:cs="OpenSymbol"/>
    </w:rPr>
  </w:style>
  <w:style w:type="character" w:styleId="ListLabel431">
    <w:name w:val="ListLabel 431"/>
    <w:qFormat/>
    <w:rPr>
      <w:rFonts w:cs="OpenSymbol"/>
    </w:rPr>
  </w:style>
  <w:style w:type="character" w:styleId="ListLabel432">
    <w:name w:val="ListLabel 432"/>
    <w:qFormat/>
    <w:rPr>
      <w:rFonts w:cs="OpenSymbol"/>
    </w:rPr>
  </w:style>
  <w:style w:type="character" w:styleId="ListLabel433">
    <w:name w:val="ListLabel 433"/>
    <w:qFormat/>
    <w:rPr>
      <w:rFonts w:cs="OpenSymbol"/>
    </w:rPr>
  </w:style>
  <w:style w:type="character" w:styleId="ListLabel434">
    <w:name w:val="ListLabel 434"/>
    <w:qFormat/>
    <w:rPr>
      <w:rFonts w:cs="OpenSymbol"/>
    </w:rPr>
  </w:style>
  <w:style w:type="character" w:styleId="ListLabel435">
    <w:name w:val="ListLabel 435"/>
    <w:qFormat/>
    <w:rPr>
      <w:rFonts w:cs="OpenSymbol"/>
    </w:rPr>
  </w:style>
  <w:style w:type="character" w:styleId="ListLabel436">
    <w:name w:val="ListLabel 436"/>
    <w:qFormat/>
    <w:rPr>
      <w:rFonts w:cs="OpenSymbol"/>
    </w:rPr>
  </w:style>
  <w:style w:type="character" w:styleId="ListLabel437">
    <w:name w:val="ListLabel 437"/>
    <w:qFormat/>
    <w:rPr>
      <w:rFonts w:cs="OpenSymbol"/>
    </w:rPr>
  </w:style>
  <w:style w:type="character" w:styleId="ListLabel438">
    <w:name w:val="ListLabel 438"/>
    <w:qFormat/>
    <w:rPr>
      <w:rFonts w:cs="OpenSymbol"/>
    </w:rPr>
  </w:style>
  <w:style w:type="character" w:styleId="ListLabel439">
    <w:name w:val="ListLabel 439"/>
    <w:qFormat/>
    <w:rPr>
      <w:rFonts w:cs="OpenSymbol"/>
    </w:rPr>
  </w:style>
  <w:style w:type="character" w:styleId="ListLabel440">
    <w:name w:val="ListLabel 440"/>
    <w:qFormat/>
    <w:rPr>
      <w:rFonts w:cs="OpenSymbol"/>
    </w:rPr>
  </w:style>
  <w:style w:type="character" w:styleId="ListLabel441">
    <w:name w:val="ListLabel 441"/>
    <w:qFormat/>
    <w:rPr>
      <w:rFonts w:cs="OpenSymbol"/>
    </w:rPr>
  </w:style>
  <w:style w:type="character" w:styleId="ListLabel442">
    <w:name w:val="ListLabel 442"/>
    <w:qFormat/>
    <w:rPr>
      <w:rFonts w:cs="OpenSymbol"/>
    </w:rPr>
  </w:style>
  <w:style w:type="character" w:styleId="ListLabel443">
    <w:name w:val="ListLabel 443"/>
    <w:qFormat/>
    <w:rPr>
      <w:rFonts w:cs="OpenSymbol"/>
    </w:rPr>
  </w:style>
  <w:style w:type="character" w:styleId="ListLabel444">
    <w:name w:val="ListLabel 444"/>
    <w:qFormat/>
    <w:rPr>
      <w:rFonts w:cs="OpenSymbol"/>
    </w:rPr>
  </w:style>
  <w:style w:type="character" w:styleId="ListLabel445">
    <w:name w:val="ListLabel 445"/>
    <w:qFormat/>
    <w:rPr>
      <w:rFonts w:cs="OpenSymbol"/>
    </w:rPr>
  </w:style>
  <w:style w:type="character" w:styleId="ListLabel446">
    <w:name w:val="ListLabel 446"/>
    <w:qFormat/>
    <w:rPr>
      <w:rFonts w:cs="OpenSymbol"/>
    </w:rPr>
  </w:style>
  <w:style w:type="character" w:styleId="ListLabel447">
    <w:name w:val="ListLabel 447"/>
    <w:qFormat/>
    <w:rPr>
      <w:rFonts w:cs="OpenSymbol"/>
    </w:rPr>
  </w:style>
  <w:style w:type="character" w:styleId="ListLabel448">
    <w:name w:val="ListLabel 448"/>
    <w:qFormat/>
    <w:rPr>
      <w:rFonts w:cs="OpenSymbol"/>
    </w:rPr>
  </w:style>
  <w:style w:type="character" w:styleId="ListLabel449">
    <w:name w:val="ListLabel 449"/>
    <w:qFormat/>
    <w:rPr>
      <w:rFonts w:cs="OpenSymbol"/>
    </w:rPr>
  </w:style>
  <w:style w:type="character" w:styleId="ListLabel450">
    <w:name w:val="ListLabel 450"/>
    <w:qFormat/>
    <w:rPr>
      <w:rFonts w:cs="OpenSymbol"/>
    </w:rPr>
  </w:style>
  <w:style w:type="character" w:styleId="ListLabel451">
    <w:name w:val="ListLabel 451"/>
    <w:qFormat/>
    <w:rPr>
      <w:rFonts w:cs="OpenSymbol"/>
    </w:rPr>
  </w:style>
  <w:style w:type="character" w:styleId="ListLabel452">
    <w:name w:val="ListLabel 452"/>
    <w:qFormat/>
    <w:rPr>
      <w:rFonts w:cs="OpenSymbol"/>
    </w:rPr>
  </w:style>
  <w:style w:type="character" w:styleId="ListLabel453">
    <w:name w:val="ListLabel 453"/>
    <w:qFormat/>
    <w:rPr>
      <w:rFonts w:cs="OpenSymbol"/>
    </w:rPr>
  </w:style>
  <w:style w:type="character" w:styleId="ListLabel454">
    <w:name w:val="ListLabel 454"/>
    <w:qFormat/>
    <w:rPr>
      <w:rFonts w:cs="OpenSymbol"/>
    </w:rPr>
  </w:style>
  <w:style w:type="character" w:styleId="ListLabel455">
    <w:name w:val="ListLabel 455"/>
    <w:qFormat/>
    <w:rPr>
      <w:rFonts w:cs="OpenSymbol"/>
    </w:rPr>
  </w:style>
  <w:style w:type="character" w:styleId="ListLabel456">
    <w:name w:val="ListLabel 456"/>
    <w:qFormat/>
    <w:rPr>
      <w:rFonts w:cs="OpenSymbol"/>
    </w:rPr>
  </w:style>
  <w:style w:type="character" w:styleId="ListLabel457">
    <w:name w:val="ListLabel 457"/>
    <w:qFormat/>
    <w:rPr>
      <w:rFonts w:cs="OpenSymbol"/>
    </w:rPr>
  </w:style>
  <w:style w:type="character" w:styleId="ListLabel458">
    <w:name w:val="ListLabel 458"/>
    <w:qFormat/>
    <w:rPr>
      <w:rFonts w:cs="OpenSymbol"/>
    </w:rPr>
  </w:style>
  <w:style w:type="character" w:styleId="ListLabel459">
    <w:name w:val="ListLabel 459"/>
    <w:qFormat/>
    <w:rPr>
      <w:rFonts w:cs="OpenSymbol"/>
    </w:rPr>
  </w:style>
  <w:style w:type="character" w:styleId="ListLabel460">
    <w:name w:val="ListLabel 460"/>
    <w:qFormat/>
    <w:rPr>
      <w:rFonts w:cs="OpenSymbol"/>
    </w:rPr>
  </w:style>
  <w:style w:type="character" w:styleId="ListLabel461">
    <w:name w:val="ListLabel 461"/>
    <w:qFormat/>
    <w:rPr>
      <w:rFonts w:cs="OpenSymbol"/>
    </w:rPr>
  </w:style>
  <w:style w:type="character" w:styleId="ListLabel462">
    <w:name w:val="ListLabel 462"/>
    <w:qFormat/>
    <w:rPr>
      <w:rFonts w:cs="OpenSymbol"/>
    </w:rPr>
  </w:style>
  <w:style w:type="character" w:styleId="ListLabel463">
    <w:name w:val="ListLabel 463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464">
    <w:name w:val="ListLabel 464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n-US"/>
    </w:rPr>
  </w:style>
  <w:style w:type="character" w:styleId="ListLabel465">
    <w:name w:val="ListLabel 465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l-GR"/>
    </w:rPr>
  </w:style>
  <w:style w:type="character" w:styleId="ListLabel466">
    <w:name w:val="ListLabel 466"/>
    <w:qFormat/>
    <w:rPr>
      <w:rFonts w:ascii="Trebuchet MS" w:hAnsi="Trebuchet MS" w:cs="Trebuchet MS"/>
      <w:sz w:val="24"/>
      <w:szCs w:val="24"/>
      <w:u w:val="none"/>
      <w:lang w:val="en-US"/>
    </w:rPr>
  </w:style>
  <w:style w:type="character" w:styleId="ListLabel467">
    <w:name w:val="ListLabel 467"/>
    <w:qFormat/>
    <w:rPr>
      <w:rFonts w:ascii="Trebuchet MS" w:hAnsi="Trebuchet MS"/>
      <w:sz w:val="24"/>
      <w:szCs w:val="24"/>
    </w:rPr>
  </w:style>
  <w:style w:type="character" w:styleId="ListLabel468">
    <w:name w:val="ListLabel 468"/>
    <w:qFormat/>
    <w:rPr>
      <w:rFonts w:cs="OpenSymbol"/>
    </w:rPr>
  </w:style>
  <w:style w:type="character" w:styleId="ListLabel469">
    <w:name w:val="ListLabel 469"/>
    <w:qFormat/>
    <w:rPr>
      <w:rFonts w:cs="OpenSymbol"/>
    </w:rPr>
  </w:style>
  <w:style w:type="character" w:styleId="ListLabel470">
    <w:name w:val="ListLabel 470"/>
    <w:qFormat/>
    <w:rPr>
      <w:rFonts w:cs="OpenSymbol"/>
    </w:rPr>
  </w:style>
  <w:style w:type="character" w:styleId="ListLabel471">
    <w:name w:val="ListLabel 471"/>
    <w:qFormat/>
    <w:rPr>
      <w:rFonts w:cs="OpenSymbol"/>
    </w:rPr>
  </w:style>
  <w:style w:type="character" w:styleId="ListLabel472">
    <w:name w:val="ListLabel 472"/>
    <w:qFormat/>
    <w:rPr>
      <w:rFonts w:cs="OpenSymbol"/>
    </w:rPr>
  </w:style>
  <w:style w:type="character" w:styleId="ListLabel473">
    <w:name w:val="ListLabel 473"/>
    <w:qFormat/>
    <w:rPr>
      <w:rFonts w:cs="OpenSymbol"/>
    </w:rPr>
  </w:style>
  <w:style w:type="character" w:styleId="ListLabel474">
    <w:name w:val="ListLabel 474"/>
    <w:qFormat/>
    <w:rPr>
      <w:rFonts w:cs="OpenSymbol"/>
    </w:rPr>
  </w:style>
  <w:style w:type="character" w:styleId="ListLabel475">
    <w:name w:val="ListLabel 475"/>
    <w:qFormat/>
    <w:rPr>
      <w:rFonts w:cs="OpenSymbol"/>
    </w:rPr>
  </w:style>
  <w:style w:type="character" w:styleId="ListLabel476">
    <w:name w:val="ListLabel 476"/>
    <w:qFormat/>
    <w:rPr>
      <w:rFonts w:cs="OpenSymbol"/>
    </w:rPr>
  </w:style>
  <w:style w:type="character" w:styleId="ListLabel477">
    <w:name w:val="ListLabel 477"/>
    <w:qFormat/>
    <w:rPr>
      <w:rFonts w:cs="OpenSymbol"/>
    </w:rPr>
  </w:style>
  <w:style w:type="character" w:styleId="ListLabel478">
    <w:name w:val="ListLabel 478"/>
    <w:qFormat/>
    <w:rPr>
      <w:rFonts w:cs="OpenSymbol"/>
    </w:rPr>
  </w:style>
  <w:style w:type="character" w:styleId="ListLabel479">
    <w:name w:val="ListLabel 479"/>
    <w:qFormat/>
    <w:rPr>
      <w:rFonts w:cs="OpenSymbol"/>
    </w:rPr>
  </w:style>
  <w:style w:type="character" w:styleId="ListLabel480">
    <w:name w:val="ListLabel 480"/>
    <w:qFormat/>
    <w:rPr>
      <w:rFonts w:cs="OpenSymbol"/>
    </w:rPr>
  </w:style>
  <w:style w:type="character" w:styleId="ListLabel481">
    <w:name w:val="ListLabel 481"/>
    <w:qFormat/>
    <w:rPr>
      <w:rFonts w:cs="OpenSymbol"/>
    </w:rPr>
  </w:style>
  <w:style w:type="character" w:styleId="ListLabel482">
    <w:name w:val="ListLabel 482"/>
    <w:qFormat/>
    <w:rPr>
      <w:rFonts w:cs="OpenSymbol"/>
    </w:rPr>
  </w:style>
  <w:style w:type="character" w:styleId="ListLabel483">
    <w:name w:val="ListLabel 483"/>
    <w:qFormat/>
    <w:rPr>
      <w:rFonts w:cs="OpenSymbol"/>
    </w:rPr>
  </w:style>
  <w:style w:type="character" w:styleId="ListLabel484">
    <w:name w:val="ListLabel 484"/>
    <w:qFormat/>
    <w:rPr>
      <w:rFonts w:cs="OpenSymbol"/>
    </w:rPr>
  </w:style>
  <w:style w:type="character" w:styleId="ListLabel485">
    <w:name w:val="ListLabel 485"/>
    <w:qFormat/>
    <w:rPr>
      <w:rFonts w:cs="OpenSymbol"/>
    </w:rPr>
  </w:style>
  <w:style w:type="character" w:styleId="ListLabel486">
    <w:name w:val="ListLabel 486"/>
    <w:qFormat/>
    <w:rPr>
      <w:rFonts w:cs="OpenSymbol"/>
    </w:rPr>
  </w:style>
  <w:style w:type="character" w:styleId="ListLabel487">
    <w:name w:val="ListLabel 487"/>
    <w:qFormat/>
    <w:rPr>
      <w:rFonts w:cs="OpenSymbol"/>
    </w:rPr>
  </w:style>
  <w:style w:type="character" w:styleId="ListLabel488">
    <w:name w:val="ListLabel 488"/>
    <w:qFormat/>
    <w:rPr>
      <w:rFonts w:cs="OpenSymbol"/>
    </w:rPr>
  </w:style>
  <w:style w:type="character" w:styleId="ListLabel489">
    <w:name w:val="ListLabel 489"/>
    <w:qFormat/>
    <w:rPr>
      <w:rFonts w:cs="OpenSymbol"/>
    </w:rPr>
  </w:style>
  <w:style w:type="character" w:styleId="ListLabel490">
    <w:name w:val="ListLabel 490"/>
    <w:qFormat/>
    <w:rPr>
      <w:rFonts w:cs="OpenSymbol"/>
    </w:rPr>
  </w:style>
  <w:style w:type="character" w:styleId="ListLabel491">
    <w:name w:val="ListLabel 491"/>
    <w:qFormat/>
    <w:rPr>
      <w:rFonts w:cs="OpenSymbol"/>
    </w:rPr>
  </w:style>
  <w:style w:type="character" w:styleId="ListLabel492">
    <w:name w:val="ListLabel 492"/>
    <w:qFormat/>
    <w:rPr>
      <w:rFonts w:cs="OpenSymbol"/>
    </w:rPr>
  </w:style>
  <w:style w:type="character" w:styleId="ListLabel493">
    <w:name w:val="ListLabel 493"/>
    <w:qFormat/>
    <w:rPr>
      <w:rFonts w:cs="OpenSymbol"/>
    </w:rPr>
  </w:style>
  <w:style w:type="character" w:styleId="ListLabel494">
    <w:name w:val="ListLabel 494"/>
    <w:qFormat/>
    <w:rPr>
      <w:rFonts w:cs="OpenSymbol"/>
    </w:rPr>
  </w:style>
  <w:style w:type="character" w:styleId="ListLabel495">
    <w:name w:val="ListLabel 495"/>
    <w:qFormat/>
    <w:rPr>
      <w:rFonts w:cs="OpenSymbol"/>
    </w:rPr>
  </w:style>
  <w:style w:type="character" w:styleId="ListLabel496">
    <w:name w:val="ListLabel 496"/>
    <w:qFormat/>
    <w:rPr>
      <w:rFonts w:cs="OpenSymbol"/>
    </w:rPr>
  </w:style>
  <w:style w:type="character" w:styleId="ListLabel497">
    <w:name w:val="ListLabel 497"/>
    <w:qFormat/>
    <w:rPr>
      <w:rFonts w:cs="OpenSymbol"/>
    </w:rPr>
  </w:style>
  <w:style w:type="character" w:styleId="ListLabel498">
    <w:name w:val="ListLabel 498"/>
    <w:qFormat/>
    <w:rPr>
      <w:rFonts w:cs="OpenSymbol"/>
    </w:rPr>
  </w:style>
  <w:style w:type="character" w:styleId="ListLabel499">
    <w:name w:val="ListLabel 499"/>
    <w:qFormat/>
    <w:rPr>
      <w:rFonts w:cs="OpenSymbol"/>
    </w:rPr>
  </w:style>
  <w:style w:type="character" w:styleId="ListLabel500">
    <w:name w:val="ListLabel 500"/>
    <w:qFormat/>
    <w:rPr>
      <w:rFonts w:cs="OpenSymbol"/>
    </w:rPr>
  </w:style>
  <w:style w:type="character" w:styleId="ListLabel501">
    <w:name w:val="ListLabel 501"/>
    <w:qFormat/>
    <w:rPr>
      <w:rFonts w:cs="OpenSymbol"/>
    </w:rPr>
  </w:style>
  <w:style w:type="character" w:styleId="ListLabel502">
    <w:name w:val="ListLabel 502"/>
    <w:qFormat/>
    <w:rPr>
      <w:rFonts w:cs="OpenSymbol"/>
    </w:rPr>
  </w:style>
  <w:style w:type="character" w:styleId="ListLabel503">
    <w:name w:val="ListLabel 503"/>
    <w:qFormat/>
    <w:rPr>
      <w:rFonts w:cs="OpenSymbol"/>
    </w:rPr>
  </w:style>
  <w:style w:type="character" w:styleId="ListLabel504">
    <w:name w:val="ListLabel 504"/>
    <w:qFormat/>
    <w:rPr>
      <w:rFonts w:ascii="Trebuchet MS" w:hAnsi="Trebuchet MS" w:cs="Trebuchet MS"/>
      <w:sz w:val="24"/>
      <w:szCs w:val="24"/>
      <w:highlight w:val="white"/>
    </w:rPr>
  </w:style>
  <w:style w:type="character" w:styleId="ListLabel505">
    <w:name w:val="ListLabel 505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n-US"/>
    </w:rPr>
  </w:style>
  <w:style w:type="character" w:styleId="ListLabel506">
    <w:name w:val="ListLabel 506"/>
    <w:qFormat/>
    <w:rPr>
      <w:rFonts w:ascii="Trebuchet MS" w:hAnsi="Trebuchet MS" w:cs="Trebuchet MS"/>
      <w:b w:val="false"/>
      <w:bCs w:val="false"/>
      <w:color w:val="000000"/>
      <w:sz w:val="24"/>
      <w:szCs w:val="24"/>
      <w:u w:val="none"/>
      <w:lang w:val="el-GR"/>
    </w:rPr>
  </w:style>
  <w:style w:type="character" w:styleId="ListLabel507">
    <w:name w:val="ListLabel 507"/>
    <w:qFormat/>
    <w:rPr>
      <w:rFonts w:ascii="Trebuchet MS" w:hAnsi="Trebuchet MS" w:cs="Trebuchet MS"/>
      <w:sz w:val="24"/>
      <w:szCs w:val="24"/>
      <w:u w:val="none"/>
      <w:lang w:val="en-US"/>
    </w:rPr>
  </w:style>
  <w:style w:type="character" w:styleId="ListLabel508">
    <w:name w:val="ListLabel 508"/>
    <w:qFormat/>
    <w:rPr>
      <w:rFonts w:ascii="Trebuchet MS" w:hAnsi="Trebuchet MS"/>
      <w:sz w:val="24"/>
      <w:szCs w:val="24"/>
    </w:rPr>
  </w:style>
  <w:style w:type="paragraph" w:styleId="Style20">
    <w:name w:val="Επικεφαλίδα"/>
    <w:basedOn w:val="Normal"/>
    <w:next w:val="Style21"/>
    <w:qFormat/>
    <w:pPr>
      <w:keepNext w:val="true"/>
      <w:widowControl w:val="false"/>
      <w:bidi w:val="0"/>
      <w:spacing w:before="240" w:after="120"/>
      <w:jc w:val="left"/>
    </w:pPr>
    <w:rPr>
      <w:rFonts w:ascii="Arial" w:hAnsi="Arial" w:eastAsia="SimSun;Batang" w:cs="FreeSans"/>
      <w:color w:val="auto"/>
      <w:kern w:val="2"/>
      <w:sz w:val="28"/>
      <w:szCs w:val="28"/>
      <w:lang w:val="el-GR" w:eastAsia="zh-CN" w:bidi="hi-IN"/>
    </w:rPr>
  </w:style>
  <w:style w:type="paragraph" w:styleId="Style21">
    <w:name w:val="Body Text"/>
    <w:basedOn w:val="Normal"/>
    <w:pPr>
      <w:widowControl w:val="false"/>
      <w:bidi w:val="0"/>
      <w:spacing w:before="0" w:after="120"/>
      <w:jc w:val="left"/>
    </w:pPr>
    <w:rPr>
      <w:rFonts w:ascii="Calibri" w:hAnsi="Calibri" w:eastAsia="AR PL SungtiL GB" w:cs="Lohit Devanagari"/>
      <w:color w:val="auto"/>
      <w:kern w:val="2"/>
      <w:sz w:val="22"/>
      <w:szCs w:val="24"/>
      <w:lang w:val="el-GR" w:eastAsia="zh-CN" w:bidi="hi-IN"/>
    </w:rPr>
  </w:style>
  <w:style w:type="paragraph" w:styleId="Style22">
    <w:name w:val="List"/>
    <w:basedOn w:val="Style21"/>
    <w:pPr/>
    <w:rPr>
      <w:rFonts w:cs="Free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ascii="Calibri:onum=1" w:hAnsi="Calibri:onum=1" w:cs="Lohit Devanagari"/>
      <w:i/>
      <w:iCs/>
      <w:sz w:val="24"/>
      <w:szCs w:val="24"/>
    </w:rPr>
  </w:style>
  <w:style w:type="paragraph" w:styleId="Style24">
    <w:name w:val="Ευρετήριο"/>
    <w:basedOn w:val="Normal"/>
    <w:qFormat/>
    <w:pPr>
      <w:widowControl w:val="false"/>
      <w:suppressLineNumbers/>
      <w:bidi w:val="0"/>
      <w:jc w:val="left"/>
    </w:pPr>
    <w:rPr>
      <w:rFonts w:ascii="Calibri" w:hAnsi="Calibri" w:eastAsia="AR PL SungtiL GB" w:cs="FreeSans"/>
      <w:color w:val="auto"/>
      <w:kern w:val="2"/>
      <w:sz w:val="22"/>
      <w:szCs w:val="24"/>
      <w:lang w:val="el-GR" w:eastAsia="zh-CN" w:bidi="hi-IN"/>
    </w:rPr>
  </w:style>
  <w:style w:type="paragraph" w:styleId="Style25">
    <w:name w:val="Προεπιλογή"/>
    <w:qFormat/>
    <w:pPr>
      <w:widowControl w:val="false"/>
      <w:tabs>
        <w:tab w:val="left" w:pos="709" w:leader="none"/>
      </w:tabs>
      <w:suppressAutoHyphens w:val="true"/>
      <w:bidi w:val="0"/>
      <w:jc w:val="left"/>
    </w:pPr>
    <w:rPr>
      <w:rFonts w:ascii="Times New Roman" w:hAnsi="Times New Roman" w:eastAsia="SimSun;Batang" w:cs="FreeSans"/>
      <w:color w:val="00000A"/>
      <w:kern w:val="2"/>
      <w:sz w:val="24"/>
      <w:szCs w:val="24"/>
      <w:lang w:val="el-GR" w:eastAsia="zh-CN" w:bidi="hi-IN"/>
    </w:rPr>
  </w:style>
  <w:style w:type="paragraph" w:styleId="Style26">
    <w:name w:val="Λεζάντα"/>
    <w:basedOn w:val="Style25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7">
    <w:name w:val="Header"/>
    <w:basedOn w:val="Style25"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8">
    <w:name w:val="Footer"/>
    <w:basedOn w:val="Style25"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9">
    <w:name w:val="Προμορφοποιημένο κείμενο"/>
    <w:basedOn w:val="Normal"/>
    <w:qFormat/>
    <w:pPr>
      <w:spacing w:before="0" w:after="0"/>
    </w:pPr>
    <w:rPr>
      <w:rFonts w:ascii="Liberation Mono" w:hAnsi="Liberation Mono" w:eastAsia="AR PL SungtiL GB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forum.aegean.gr/viewtopic.php?f=13&amp;t=11785" TargetMode="External"/><Relationship Id="rId3" Type="http://schemas.openxmlformats.org/officeDocument/2006/relationships/hyperlink" Target="mailto:georgalidou@aegean.gr" TargetMode="External"/><Relationship Id="rId4" Type="http://schemas.openxmlformats.org/officeDocument/2006/relationships/hyperlink" Target="mailto:dgouvias@aegean.gr" TargetMode="External"/><Relationship Id="rId5" Type="http://schemas.openxmlformats.org/officeDocument/2006/relationships/hyperlink" Target="mailto:modestos@aegean.gr" TargetMode="External"/><Relationship Id="rId6" Type="http://schemas.openxmlformats.org/officeDocument/2006/relationships/hyperlink" Target="mailto:skiratzi@aegean.gr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2496</TotalTime>
  <Application>LibreOffice/6.0.7.3$Linux_X86_64 LibreOffice_project/00m0$Build-3</Application>
  <Pages>4</Pages>
  <Words>1316</Words>
  <Characters>7689</Characters>
  <CharactersWithSpaces>8932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2013-01-02T17:37:00Z</dcterms:created>
  <dc:creator>new</dc:creator>
  <dc:description/>
  <dc:language>el-GR</dc:language>
  <cp:lastModifiedBy/>
  <cp:lastPrinted>2017-02-02T10:17:25Z</cp:lastPrinted>
  <dcterms:modified xsi:type="dcterms:W3CDTF">2021-11-19T08:23:42Z</dcterms:modified>
  <cp:revision>50</cp:revision>
  <dc:subject/>
  <dc:title>Πρόταση ΚΣ Συλλόγου ΔΕΠ Πανεπιστημίου Αιγαίου προς την Προεκλογική Γενική Συνδιάσκεψη για τους όρους διεξαγωγής των εκλογών για την ανάδειξη των αντιπροσώπων για το 11ο Συνέδριο της ΠΟΣΔΕΠ</dc:title>
</cp:coreProperties>
</file>