
<file path=[Content_Types].xml><?xml version="1.0" encoding="utf-8"?>
<Types xmlns="http://schemas.openxmlformats.org/package/2006/content-types">
  <Override PartName="/_rels/.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3.xml" ContentType="application/vnd.openxmlformats-officedocument.customXmlProperties+xml"/>
  <Override PartName="/customXml/_rels/item3.xml.rels" ContentType="application/vnd.openxmlformats-package.relationships+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Override PartName="/customXml/item3.xml" ContentType="application/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theme/theme1.xml" ContentType="application/vnd.openxmlformats-officedocument.theme+xml"/>
  <Override PartName="/word/document.xml" ContentType="application/vnd.openxmlformats-officedocument.wordprocessingml.document.main+xml"/>
  <Override PartName="/word/header1.xml" ContentType="application/vnd.openxmlformats-officedocument.wordprocessingml.header+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Calibri:onum=1" w:hAnsi="Calibri:onum=1"/>
          <w:sz w:val="26"/>
          <w:szCs w:val="26"/>
        </w:rPr>
      </w:pPr>
      <w:r>
        <w:rPr>
          <w:rFonts w:cs="Calibri" w:ascii="Calibri:onum=1" w:hAnsi="Calibri:onum=1" w:cstheme="minorHAnsi"/>
          <w:b/>
          <w:color w:val="000000"/>
          <w:sz w:val="26"/>
          <w:szCs w:val="26"/>
        </w:rPr>
        <w:t>ΑΝΑΚΟΙΝΩΣΗ ΚΕΝΤΡΙΚΟΥ ΣΥΜΒΟΥΛΙΟΥ</w:t>
        <w:br/>
        <w:t>ΣΥΛΛΟΓΟΥ ΔΕΠ ΠΑΝΕΠΙΣΤΗΜΙΟΥ ΑΙΓΑΙΟΥ</w:t>
      </w:r>
    </w:p>
    <w:p>
      <w:pPr>
        <w:pStyle w:val="Normal"/>
        <w:jc w:val="center"/>
        <w:rPr>
          <w:rFonts w:ascii="Calibri:onum=1" w:hAnsi="Calibri:onum=1"/>
          <w:b/>
          <w:b/>
          <w:bCs/>
          <w:sz w:val="26"/>
          <w:szCs w:val="26"/>
        </w:rPr>
      </w:pPr>
      <w:r>
        <w:rPr>
          <w:rFonts w:ascii="Calibri:onum=1" w:hAnsi="Calibri:onum=1"/>
          <w:b/>
          <w:bCs/>
          <w:sz w:val="26"/>
          <w:szCs w:val="26"/>
        </w:rPr>
        <w:t>Το νέο νομοσχέδιο για μια ταξική εκπαίδευση</w:t>
      </w:r>
    </w:p>
    <w:p>
      <w:pPr>
        <w:pStyle w:val="Normal"/>
        <w:jc w:val="right"/>
        <w:rPr/>
      </w:pPr>
      <w:r>
        <w:rPr>
          <w:rStyle w:val="Style15"/>
          <w:rFonts w:cs="Calibri" w:ascii="Calibri:onum=1" w:hAnsi="Calibri:onum=1" w:cstheme="minorHAnsi"/>
          <w:i/>
          <w:iCs/>
          <w:color w:val="000000"/>
          <w:sz w:val="24"/>
          <w:szCs w:val="24"/>
        </w:rPr>
        <w:t>28 Απριλίου 2020</w:t>
      </w:r>
    </w:p>
    <w:p>
      <w:pPr>
        <w:pStyle w:val="Normal"/>
        <w:jc w:val="both"/>
        <w:rPr>
          <w:rFonts w:ascii="Calibri:onum=1" w:hAnsi="Calibri:onum=1"/>
          <w:color w:val="000000"/>
          <w:sz w:val="24"/>
          <w:szCs w:val="24"/>
        </w:rPr>
      </w:pPr>
      <w:r>
        <w:rPr>
          <w:rFonts w:cs="Calibri" w:ascii="Calibri:onum=1" w:hAnsi="Calibri:onum=1" w:cstheme="minorHAnsi"/>
          <w:color w:val="000000"/>
          <w:sz w:val="24"/>
          <w:szCs w:val="24"/>
        </w:rPr>
        <w:t>Η κυβέρνηση της Ν.Δ., εν μέσω πανδημίας και έκτακτων μέτρων κοινωνικής απομάκρυνσης και αποστασιοποίησης, επιχειρεί να προωθήσει μέτρα που οδηγούν, με μαθηματική ακρίβεια, σε ένα περισσότερο ταξικό εκπαιδευτικό σύστημα. Την ώρα που απαγορεύονται οι συναθροίσεις, και οι συλλογικοί φορείς του εκπαιδευτικού χώρου δεν μπορούν να συγκαλέσουν γενικές συνελεύσεις, το ΥΠΑΙΘ ετοιμάζεται να νομοθετήσει για ζητήματα με τα οποία σύσσωμη η εκπαιδευτική κοινότητα διαφωνεί.</w:t>
      </w:r>
    </w:p>
    <w:p>
      <w:pPr>
        <w:pStyle w:val="Normal"/>
        <w:jc w:val="both"/>
        <w:rPr>
          <w:rFonts w:ascii="Calibri:onum=1" w:hAnsi="Calibri:onum=1"/>
          <w:color w:val="000000"/>
          <w:sz w:val="24"/>
          <w:szCs w:val="24"/>
        </w:rPr>
      </w:pPr>
      <w:r>
        <w:rPr>
          <w:rFonts w:cs="Calibri" w:ascii="Calibri:onum=1" w:hAnsi="Calibri:onum=1" w:cstheme="minorHAnsi"/>
          <w:color w:val="000000"/>
          <w:sz w:val="24"/>
          <w:szCs w:val="24"/>
        </w:rPr>
        <w:t xml:space="preserve">Με το νομοσχέδιο, το οποίο έχει αναρτηθεί για «διαβούλευση» στο </w:t>
      </w:r>
      <w:r>
        <w:rPr>
          <w:rFonts w:cs="Calibri" w:ascii="Calibri:onum=1" w:hAnsi="Calibri:onum=1" w:cstheme="minorHAnsi"/>
          <w:i/>
          <w:iCs/>
          <w:color w:val="000000"/>
          <w:sz w:val="24"/>
          <w:szCs w:val="24"/>
          <w:lang w:val="en-US"/>
        </w:rPr>
        <w:t>Opengov</w:t>
      </w:r>
      <w:r>
        <w:rPr>
          <w:rFonts w:cs="Calibri" w:ascii="Calibri:onum=1" w:hAnsi="Calibri:onum=1" w:cstheme="minorHAnsi"/>
          <w:i/>
          <w:iCs/>
          <w:color w:val="000000"/>
          <w:sz w:val="24"/>
          <w:szCs w:val="24"/>
        </w:rPr>
        <w:t>.</w:t>
      </w:r>
      <w:r>
        <w:rPr>
          <w:rFonts w:cs="Calibri" w:ascii="Calibri:onum=1" w:hAnsi="Calibri:onum=1" w:cstheme="minorHAnsi"/>
          <w:i/>
          <w:iCs/>
          <w:color w:val="000000"/>
          <w:sz w:val="24"/>
          <w:szCs w:val="24"/>
          <w:lang w:val="en-US"/>
        </w:rPr>
        <w:t>gr</w:t>
      </w:r>
      <w:r>
        <w:rPr>
          <w:rFonts w:cs="Calibri" w:ascii="Calibri:onum=1" w:hAnsi="Calibri:onum=1" w:cstheme="minorHAnsi"/>
          <w:color w:val="000000"/>
          <w:sz w:val="24"/>
          <w:szCs w:val="24"/>
        </w:rPr>
        <w:t>, στην Τριτοβάθμια Εκπαίδευση συνεχίζονται οι πολιτικές εμπορευματοποίησης που έχουν οικοδομηθεί απ΄τις προηγούμενες κυβερνήσεις τις δύο τελευταίες δεκαετίες, τη στιγμή που τα πανεπιστήμια στενάζουν κάτω από τα προβλήματα της υποστελέχωσης και της υποχρηματοδότησης. Ειδικότερα:</w:t>
      </w:r>
    </w:p>
    <w:p>
      <w:pPr>
        <w:pStyle w:val="Normal"/>
        <w:numPr>
          <w:ilvl w:val="0"/>
          <w:numId w:val="2"/>
        </w:numPr>
        <w:jc w:val="both"/>
        <w:rPr>
          <w:rFonts w:ascii="Calibri:onum=1" w:hAnsi="Calibri:onum=1"/>
          <w:color w:val="000000"/>
          <w:sz w:val="24"/>
          <w:szCs w:val="24"/>
        </w:rPr>
      </w:pPr>
      <w:r>
        <w:rPr>
          <w:rFonts w:cs="Calibri" w:ascii="Calibri:onum=1" w:hAnsi="Calibri:onum=1" w:cstheme="minorHAnsi"/>
          <w:color w:val="000000"/>
          <w:sz w:val="24"/>
          <w:szCs w:val="24"/>
        </w:rPr>
        <w:t>Με τις προβλέψεις για ξενόγλωσσα προγράμματα σπουδών με δίδακτρα, συμπράξεις με πανεπιστήμια του εξωτερικού, θερινά προγράμματα κ.ά. επιχειρείται να επεκταθούν οι δραστηριότητες του πανεπιστημίου-επιχείρηση, που θα εμπορεύεται προγράμματα σπουδών και άλλα «προϊόντα» και «υπηρεσίες» καλλιεργώντας στα μέλη ΔΕΠ, μια νοοτροπία «ατομικής επιβίωσης», σε συνέχεια των μεταπτυχιακών προγραμμάτων, των προγραμμάτων κατάρτισης μέσω ΚΕΔΙΒΙΜ και των «Μπολονιακών» διετών προγραμμάτων σπουδών.</w:t>
      </w:r>
    </w:p>
    <w:p>
      <w:pPr>
        <w:pStyle w:val="Normal"/>
        <w:numPr>
          <w:ilvl w:val="0"/>
          <w:numId w:val="2"/>
        </w:numPr>
        <w:jc w:val="both"/>
        <w:rPr>
          <w:rFonts w:ascii="Calibri:onum=1" w:hAnsi="Calibri:onum=1"/>
          <w:color w:val="000000"/>
          <w:sz w:val="24"/>
          <w:szCs w:val="24"/>
        </w:rPr>
      </w:pPr>
      <w:r>
        <w:rPr>
          <w:rFonts w:cs="Calibri" w:ascii="Calibri:onum=1" w:hAnsi="Calibri:onum=1" w:cstheme="minorHAnsi"/>
          <w:color w:val="000000"/>
          <w:sz w:val="24"/>
          <w:szCs w:val="24"/>
        </w:rPr>
        <w:t>Αποκλείεται κάθε συμμετοχή άλλων εργαζομένων στα πανεπιστήμια (ΕΕΠ, ΕΔΙΠ, διοικητικοί υπάλληλοι) στην ψηφοφορία για την εκλογή των πρυτανικών αρχών, υποτιμώντας το ρόλο τους και την πραγματική συμβολή τους στη λειτουργία των Ιδρυμάτων, και καταφέρνοντας ακόμα ένα πλήγμα στη δημοκρατία μέσα στα πανεπιστήμια.</w:t>
      </w:r>
    </w:p>
    <w:p>
      <w:pPr>
        <w:pStyle w:val="Normal"/>
        <w:numPr>
          <w:ilvl w:val="0"/>
          <w:numId w:val="2"/>
        </w:numPr>
        <w:jc w:val="both"/>
        <w:rPr>
          <w:rFonts w:ascii="Calibri:onum=1" w:hAnsi="Calibri:onum=1"/>
          <w:color w:val="000000"/>
          <w:sz w:val="24"/>
          <w:szCs w:val="24"/>
        </w:rPr>
      </w:pPr>
      <w:r>
        <w:rPr>
          <w:rFonts w:cs="Calibri" w:ascii="Calibri:onum=1" w:hAnsi="Calibri:onum=1" w:cstheme="minorHAnsi"/>
          <w:color w:val="000000"/>
          <w:sz w:val="24"/>
          <w:szCs w:val="24"/>
        </w:rPr>
        <w:t xml:space="preserve">Θεσμοθετείται η υποχρεωτική ηλεκτρονική ψηφοφορία, καθιστώντας τη διαδικασία μια «ιδιωτική υπόθεση» και αποστεώνοντάς την από κάθε μαζικότητα. Επιπλέον πρόκειται για διαδικασία που δεν εξασφαλίζει καμία μυστικότητα και αίρει τις δικλείδες αδιάβλητου της διαδικασίας. </w:t>
      </w:r>
    </w:p>
    <w:p>
      <w:pPr>
        <w:pStyle w:val="Normal"/>
        <w:numPr>
          <w:ilvl w:val="0"/>
          <w:numId w:val="2"/>
        </w:numPr>
        <w:jc w:val="both"/>
        <w:rPr>
          <w:rFonts w:ascii="Calibri:onum=1" w:hAnsi="Calibri:onum=1"/>
          <w:color w:val="000000"/>
          <w:sz w:val="24"/>
          <w:szCs w:val="24"/>
        </w:rPr>
      </w:pPr>
      <w:r>
        <w:rPr>
          <w:rFonts w:ascii="Calibri:onum=1" w:hAnsi="Calibri:onum=1"/>
          <w:color w:val="000000"/>
          <w:sz w:val="24"/>
          <w:szCs w:val="24"/>
        </w:rPr>
        <w:t>Με τις ρυθμίσεις για τις μετεγγραφές ενισχύονται τα εμπόδια στους/στις φτωχούς/ές φοιτητές/τριες να σπουδάσουν (π.χ. η συγκέντρωση των μορίων της βάσης μετεγγραφής του Τμήματος στο οποίο αιτείται ο/η φοιτητής/τρια τη μετεγγραφή, ή η αυστηροποίηση των οικονομικών και κοινωνικών κριτηρίων).</w:t>
      </w:r>
    </w:p>
    <w:p>
      <w:pPr>
        <w:pStyle w:val="Normal"/>
        <w:jc w:val="both"/>
        <w:rPr>
          <w:rFonts w:ascii="Calibri:onum=1" w:hAnsi="Calibri:onum=1"/>
          <w:color w:val="000000"/>
          <w:sz w:val="24"/>
          <w:szCs w:val="24"/>
        </w:rPr>
      </w:pPr>
      <w:r>
        <w:rPr>
          <w:rFonts w:ascii="Calibri:onum=1" w:hAnsi="Calibri:onum=1"/>
          <w:color w:val="000000"/>
          <w:sz w:val="24"/>
          <w:szCs w:val="24"/>
        </w:rPr>
        <w:t>Στην Πρωτοβάθμια και Δευτεροβάθμια Εκπαίδευση:</w:t>
      </w:r>
    </w:p>
    <w:p>
      <w:pPr>
        <w:pStyle w:val="Normal"/>
        <w:numPr>
          <w:ilvl w:val="0"/>
          <w:numId w:val="3"/>
        </w:numPr>
        <w:jc w:val="both"/>
        <w:rPr>
          <w:rFonts w:ascii="Calibri:onum=1" w:hAnsi="Calibri:onum=1"/>
          <w:color w:val="000000"/>
          <w:sz w:val="24"/>
          <w:szCs w:val="24"/>
        </w:rPr>
      </w:pPr>
      <w:r>
        <w:rPr>
          <w:rFonts w:cs="Calibri" w:ascii="Calibri:onum=1" w:hAnsi="Calibri:onum=1" w:cstheme="minorHAnsi"/>
          <w:color w:val="000000"/>
          <w:sz w:val="24"/>
          <w:szCs w:val="24"/>
        </w:rPr>
        <w:t>Χωρίς καμιά παιδαγωγική δικαιολογία στέλνονται εκπαιδευτικοί κλάδου ΠΕ06 Αγγλικής Φιλολογίας για «δημιουργική ενασχόληση των μαθητών με την αγγλική γλώσσα», προοιωνίζοντας επαγγελματικό πινγκ-πονγκ για τις/τους συγκεκριμένες/ους εκπαιδευτικούς (βλ. συμπλήρωση ωραρίου σε διάφορες σχολικές μονάδες), αλλά και υποτίμηση και αμφισβήτηση του παιδαγωγικού ρόλου των νηπιαγωγών, οι οποίες/οι είναι ο μόνος κλάδος που έχει εκπαιδευτεί και καταρτιστεί για την παροχή προσχολικής αγωγής.</w:t>
      </w:r>
    </w:p>
    <w:p>
      <w:pPr>
        <w:pStyle w:val="Normal"/>
        <w:numPr>
          <w:ilvl w:val="0"/>
          <w:numId w:val="3"/>
        </w:numPr>
        <w:jc w:val="both"/>
        <w:rPr>
          <w:rFonts w:ascii="Calibri:onum=1" w:hAnsi="Calibri:onum=1"/>
          <w:color w:val="000000"/>
          <w:sz w:val="24"/>
          <w:szCs w:val="24"/>
        </w:rPr>
      </w:pPr>
      <w:r>
        <w:rPr>
          <w:rFonts w:cs="Calibri" w:ascii="Calibri:onum=1" w:hAnsi="Calibri:onum=1" w:cstheme="minorHAnsi"/>
          <w:color w:val="000000"/>
          <w:sz w:val="24"/>
          <w:szCs w:val="24"/>
        </w:rPr>
        <w:t>Εισάγεται πιλοτικό πρόγραμμα «εργαστήρια δεξιοτήτων» σε νηπιαγωγεία, δημοτικά και γυμνάσια, καθιστώντας με αυτόν τον τρόπο την εκπαίδευση σε κέντρο αποσπασματικής γνώσης.</w:t>
      </w:r>
    </w:p>
    <w:p>
      <w:pPr>
        <w:pStyle w:val="Normal"/>
        <w:numPr>
          <w:ilvl w:val="0"/>
          <w:numId w:val="3"/>
        </w:numPr>
        <w:jc w:val="both"/>
        <w:rPr>
          <w:rFonts w:ascii="Calibri:onum=1" w:hAnsi="Calibri:onum=1"/>
          <w:color w:val="000000"/>
          <w:sz w:val="24"/>
          <w:szCs w:val="24"/>
        </w:rPr>
      </w:pPr>
      <w:r>
        <w:rPr>
          <w:rFonts w:cs="Calibri" w:ascii="Calibri:onum=1" w:hAnsi="Calibri:onum=1" w:cstheme="minorHAnsi"/>
          <w:color w:val="000000"/>
          <w:sz w:val="24"/>
          <w:szCs w:val="24"/>
        </w:rPr>
        <w:t>Αυξάνονται τα γραπτώς εξεταζόμενα μαθήματα στο τέλος κάθε γυμνασιακής τάξης από 4 σε 7, μετατρέποντας έτσι την μέση εκπαίδευση σε εξεταστικό κέντρο.</w:t>
      </w:r>
    </w:p>
    <w:p>
      <w:pPr>
        <w:pStyle w:val="Normal"/>
        <w:numPr>
          <w:ilvl w:val="0"/>
          <w:numId w:val="3"/>
        </w:numPr>
        <w:jc w:val="both"/>
        <w:rPr>
          <w:rFonts w:ascii="Calibri:onum=1" w:hAnsi="Calibri:onum=1"/>
          <w:color w:val="000000"/>
          <w:sz w:val="24"/>
          <w:szCs w:val="24"/>
        </w:rPr>
      </w:pPr>
      <w:r>
        <w:rPr>
          <w:rFonts w:ascii="Calibri:onum=1" w:hAnsi="Calibri:onum=1"/>
          <w:color w:val="000000"/>
          <w:sz w:val="24"/>
          <w:szCs w:val="24"/>
        </w:rPr>
        <w:t>Αυξάνεται ο ελάχιστος και ανώτερος αριθμός μαθητών ανά Τμήμα.</w:t>
      </w:r>
    </w:p>
    <w:p>
      <w:pPr>
        <w:pStyle w:val="Normal"/>
        <w:numPr>
          <w:ilvl w:val="0"/>
          <w:numId w:val="3"/>
        </w:numPr>
        <w:jc w:val="both"/>
        <w:rPr>
          <w:rFonts w:ascii="Calibri:onum=1" w:hAnsi="Calibri:onum=1"/>
          <w:color w:val="000000"/>
          <w:sz w:val="24"/>
          <w:szCs w:val="24"/>
        </w:rPr>
      </w:pPr>
      <w:r>
        <w:rPr>
          <w:rFonts w:ascii="Calibri:onum=1" w:hAnsi="Calibri:onum=1"/>
          <w:color w:val="000000"/>
          <w:sz w:val="24"/>
          <w:szCs w:val="24"/>
        </w:rPr>
        <w:t>Επαναφέρεται η Τράπεζα Θεμάτων Διαβαθμισμένης Δυσκολίας σε όλες τις προαγωγικές και απολυτήριες εξετάσεις του Λυκείου, κάτι που θα οδηγήσει –όπως και στο πρόσφατο παρελθόν που εφαρμόστηκε – σε ένα «ξεκαθάρισμα» του μαθητικού πληθυσμού, με πολλούς/ές μαθητές/τριες να μένουν μετεξεταστέοι/ες.</w:t>
      </w:r>
    </w:p>
    <w:p>
      <w:pPr>
        <w:pStyle w:val="Normal"/>
        <w:numPr>
          <w:ilvl w:val="0"/>
          <w:numId w:val="3"/>
        </w:numPr>
        <w:jc w:val="both"/>
        <w:rPr>
          <w:rFonts w:ascii="Calibri:onum=1" w:hAnsi="Calibri:onum=1"/>
          <w:color w:val="000000"/>
          <w:sz w:val="24"/>
          <w:szCs w:val="24"/>
        </w:rPr>
      </w:pPr>
      <w:r>
        <w:rPr>
          <w:rFonts w:ascii="Calibri:onum=1" w:hAnsi="Calibri:onum=1"/>
          <w:color w:val="000000"/>
          <w:sz w:val="24"/>
          <w:szCs w:val="24"/>
        </w:rPr>
        <w:t>Προωθούνται –ακόμα πιο έντονα από ό,τι στο παρελθόν—τα λεγόμενα «πρότυπα σχολεία» (στα οποία,  μην ξεχνάμε, εισέρχονται μαθητές/τριες  με «εξετάσεις»), δίνοντας ξεκάθαρο μήνυμα για τη στήριξη της «αριστείας» σε βάρος της κοινωνικής δικαιοσύνης, της ισοτιμίας και της δημόσιας εκπαίδευσης.</w:t>
      </w:r>
    </w:p>
    <w:p>
      <w:pPr>
        <w:pStyle w:val="Normal"/>
        <w:numPr>
          <w:ilvl w:val="0"/>
          <w:numId w:val="3"/>
        </w:numPr>
        <w:jc w:val="both"/>
        <w:rPr>
          <w:rFonts w:ascii="Calibri:onum=1" w:hAnsi="Calibri:onum=1"/>
          <w:color w:val="000000"/>
          <w:sz w:val="24"/>
          <w:szCs w:val="24"/>
        </w:rPr>
      </w:pPr>
      <w:r>
        <w:rPr>
          <w:rFonts w:ascii="Calibri:onum=1" w:hAnsi="Calibri:onum=1"/>
          <w:color w:val="000000"/>
          <w:sz w:val="24"/>
          <w:szCs w:val="24"/>
        </w:rPr>
        <w:t>Τίθενται ηλικιακοί φραγμοί στη φοίτηση στα ΕΠΑ.Λ. γιατί, σύμφωνα με το νομοσχέδιο, στην Α΄ και τη Β΄ τάξη εγγράφονται ή μετεγγράφονται οι μαθητές και οι μαθήτριες μέχρι 17 ετών (άρα μειώνεται ακόμα περισσότερο το πραγματικό όριο στην Α΄ τάξη στα 16 χρόνια), γεγονός που σημαίνει ότι στερείται από χιλιάδες νέους ανθρώπους, που εγκατέλειψαν το τυπικό εκπαιδευτικό σύστημα για λόγους οικονομικούς, οικογενειακούς, ψυχοκοινωνικούς, η αυτονόητη εκπαιδευτική και επαγγελματική τους πρόοδος. Μην ξεχνάμε ότι αριθμός των μαθητών/-τριών που σπουδάζουν στα ημερήσια ΕΠΑ.Λ. με ηλικία πάνω από 17 χρονών είναι αρκετά υψηλός και φτάνει, ανάλογα τη σχολική χρονιά, ακόμα και το 1/3 του συνολικού μαθητικού πληθυσμού, ενώ στα εσπερινά ΕΠΑ.Λ. είναι η συντριπτική πλειοψηφία.</w:t>
      </w:r>
    </w:p>
    <w:p>
      <w:pPr>
        <w:pStyle w:val="Normal"/>
        <w:numPr>
          <w:ilvl w:val="0"/>
          <w:numId w:val="3"/>
        </w:numPr>
        <w:jc w:val="both"/>
        <w:rPr>
          <w:rFonts w:ascii="Calibri:onum=1" w:hAnsi="Calibri:onum=1"/>
          <w:color w:val="000000"/>
          <w:sz w:val="24"/>
          <w:szCs w:val="24"/>
        </w:rPr>
      </w:pPr>
      <w:r>
        <w:rPr>
          <w:rFonts w:ascii="Calibri:onum=1" w:hAnsi="Calibri:onum=1"/>
          <w:color w:val="000000"/>
          <w:sz w:val="24"/>
          <w:szCs w:val="24"/>
        </w:rPr>
        <w:t>Επανέρχε</w:t>
      </w:r>
      <w:bookmarkStart w:id="0" w:name="_GoBack"/>
      <w:bookmarkEnd w:id="0"/>
      <w:r>
        <w:rPr>
          <w:rFonts w:ascii="Calibri:onum=1" w:hAnsi="Calibri:onum=1"/>
          <w:color w:val="000000"/>
          <w:sz w:val="24"/>
          <w:szCs w:val="24"/>
        </w:rPr>
        <w:t>ται ο χαρακτηρισμός «διαγωγής» στους απολυτήριους &amp; προαγωγικούς τίτλους, γυρίζοντας τον εκπαιδευτικό κόσμο σε παλιότερες εποχές.</w:t>
      </w:r>
    </w:p>
    <w:p>
      <w:pPr>
        <w:pStyle w:val="Normal"/>
        <w:numPr>
          <w:ilvl w:val="0"/>
          <w:numId w:val="3"/>
        </w:numPr>
        <w:jc w:val="both"/>
        <w:rPr>
          <w:rFonts w:ascii="Calibri:onum=1" w:hAnsi="Calibri:onum=1"/>
          <w:color w:val="000000"/>
          <w:sz w:val="24"/>
          <w:szCs w:val="24"/>
        </w:rPr>
      </w:pPr>
      <w:r>
        <w:rPr>
          <w:rFonts w:ascii="Calibri:onum=1" w:hAnsi="Calibri:onum=1"/>
          <w:color w:val="000000"/>
          <w:sz w:val="24"/>
          <w:szCs w:val="24"/>
        </w:rPr>
        <w:t xml:space="preserve">Προβλέπεται η «περιοδική εσωτερική και εξωτερική αξιολόγηση» των εκπαιδευτικών στα Πρότυπα και τα Πειραματικά σχολεία. </w:t>
      </w:r>
    </w:p>
    <w:p>
      <w:pPr>
        <w:pStyle w:val="Normal"/>
        <w:numPr>
          <w:ilvl w:val="0"/>
          <w:numId w:val="3"/>
        </w:numPr>
        <w:jc w:val="both"/>
        <w:rPr>
          <w:rFonts w:ascii="Calibri:onum=1" w:hAnsi="Calibri:onum=1"/>
          <w:color w:val="000000"/>
          <w:sz w:val="24"/>
          <w:szCs w:val="24"/>
        </w:rPr>
      </w:pPr>
      <w:r>
        <w:rPr>
          <w:rFonts w:ascii="Calibri:onum=1" w:hAnsi="Calibri:onum=1"/>
          <w:color w:val="000000"/>
          <w:sz w:val="24"/>
          <w:szCs w:val="24"/>
        </w:rPr>
        <w:t>Προβλέπεται ο διετής ή τριετής αποκλεισμός των αναπληρωτών/τριών από τους πίνακες σε περίπτωση μη ανάληψης υπηρεσίας.</w:t>
      </w:r>
    </w:p>
    <w:p>
      <w:pPr>
        <w:pStyle w:val="Normal"/>
        <w:jc w:val="both"/>
        <w:rPr>
          <w:rFonts w:ascii="Calibri:onum=1" w:hAnsi="Calibri:onum=1"/>
          <w:color w:val="000000"/>
          <w:sz w:val="24"/>
          <w:szCs w:val="24"/>
        </w:rPr>
      </w:pPr>
      <w:r>
        <w:rPr>
          <w:rFonts w:cs="Calibri" w:ascii="Calibri:onum=1" w:hAnsi="Calibri:onum=1" w:cstheme="minorHAnsi"/>
          <w:color w:val="000000"/>
          <w:sz w:val="24"/>
          <w:szCs w:val="24"/>
        </w:rPr>
        <w:t>Είναι αδιανόητο από τη μία πλευρά το Υπουργείο Παιδείας να χαιρετίζει και να συγχαίρει τη μεγάλη προσπάθεια των εκπαιδευτικών όλων των βαθμίδων, και την ίδια στιγμή να τους/τις αγνοεί και να τους/τις υποτιμά με τέτοιο κραυγαλέο τρόπο. Είναι τουλάχιστον ύποπτο, σε μια πρακτικά «κλειστή» Βουλή λόγω καραντίνας, να έρχονται στο προσκήνιο νέες νομοθετικές πρωτοβουλίες χωρίς καμιά δημοκρατική διαδικασία (βλ. και το νομοσχέδιο με τίτλο «Εκσυγχρονισμός Περιβαλλοντικής Νομοθεσίας» που η κυβέρνηση ετοιμάζεται πυρετωδώς να φέρει προς ψήφιση).</w:t>
      </w:r>
    </w:p>
    <w:p>
      <w:pPr>
        <w:pStyle w:val="Normal"/>
        <w:jc w:val="both"/>
        <w:rPr>
          <w:rFonts w:ascii="Calibri:onum=1" w:hAnsi="Calibri:onum=1"/>
          <w:color w:val="000000"/>
          <w:sz w:val="24"/>
          <w:szCs w:val="24"/>
        </w:rPr>
      </w:pPr>
      <w:r>
        <w:rPr>
          <w:rFonts w:ascii="Calibri:onum=1" w:hAnsi="Calibri:onum=1"/>
          <w:color w:val="000000"/>
          <w:sz w:val="24"/>
          <w:szCs w:val="24"/>
        </w:rPr>
        <w:t xml:space="preserve">Αποτελεί πρόκληση για το σύνολο της εκπαιδευτικής κοινότητας και ακραία πολιτική ανηθικότητα η ίδια κυβέρνηση που καλεί διαρκώς απ’ την αρχή της πανδημίας τον κόσμο να «μένει σπίτι», να επιλέγει τώρα να χτυπήσει τη δημόσια δωρεάν παιδεία, το δικαίωμα μαθητών/τριών, φοιτητών/τριών, και εκπαιδευτικών να αποφασίζουν συλλογικά μέσα από τις συνελεύσεις και τα συνδικαλιστικά τους όργανα. </w:t>
      </w:r>
    </w:p>
    <w:p>
      <w:pPr>
        <w:pStyle w:val="Normal"/>
        <w:numPr>
          <w:ilvl w:val="0"/>
          <w:numId w:val="4"/>
        </w:numPr>
        <w:jc w:val="both"/>
        <w:rPr>
          <w:rFonts w:ascii="Calibri:onum=1" w:hAnsi="Calibri:onum=1"/>
          <w:color w:val="000000"/>
          <w:sz w:val="24"/>
          <w:szCs w:val="24"/>
        </w:rPr>
      </w:pPr>
      <w:r>
        <w:rPr>
          <w:rFonts w:cs="Calibri" w:ascii="Calibri:onum=1" w:hAnsi="Calibri:onum=1" w:cstheme="minorHAnsi"/>
          <w:color w:val="000000"/>
          <w:sz w:val="24"/>
          <w:szCs w:val="24"/>
        </w:rPr>
        <w:t>Καλούμε την κυβέρνηση της Ν.Δ. να αποσύρει άμεσα το προτεινόμενο νομοσχέδιο και να επιλύσει τα χρόνια προβλήματα της δημόσια εκπαίδευσης, χωρίς νεοφιλελεύθερα κόλπα και εντυπωσιασμούς.</w:t>
      </w:r>
    </w:p>
    <w:p>
      <w:pPr>
        <w:pStyle w:val="Normal"/>
        <w:numPr>
          <w:ilvl w:val="0"/>
          <w:numId w:val="4"/>
        </w:numPr>
        <w:jc w:val="both"/>
        <w:rPr>
          <w:rFonts w:ascii="Calibri:onum=1" w:hAnsi="Calibri:onum=1"/>
          <w:color w:val="000000"/>
          <w:sz w:val="24"/>
          <w:szCs w:val="24"/>
        </w:rPr>
      </w:pPr>
      <w:r>
        <w:rPr>
          <w:rFonts w:cs="Calibri" w:ascii="Calibri:onum=1" w:hAnsi="Calibri:onum=1" w:cstheme="minorHAnsi"/>
          <w:color w:val="000000"/>
          <w:sz w:val="24"/>
          <w:szCs w:val="24"/>
        </w:rPr>
        <w:t xml:space="preserve">Καλούμε τις Πρυτανικές Αρχές, αλλά και τις Διοικήσεις των Σχολών &amp; Τμημάτων των πανεπιστημίων να αντιδράσουν στις προτεινόμενες αλλαγές, και να μην μπαίνουν σε συνδιαλλαγές κάτω από το τραπέζι με το ΥΠΑΙΘ (όπως, δυστυχώς, έγινε με τις συγχωνεύσεις πανεπιστημίων και ΤΕΙ την τελευταία τριετία), ακολουθώντας μια λογική «ο θάνατός σου η ζωή μου». </w:t>
      </w:r>
    </w:p>
    <w:p>
      <w:pPr>
        <w:pStyle w:val="Normal"/>
        <w:numPr>
          <w:ilvl w:val="0"/>
          <w:numId w:val="4"/>
        </w:numPr>
        <w:jc w:val="both"/>
        <w:rPr>
          <w:rFonts w:ascii="Calibri:onum=1" w:hAnsi="Calibri:onum=1"/>
          <w:color w:val="000000"/>
          <w:sz w:val="24"/>
          <w:szCs w:val="24"/>
        </w:rPr>
      </w:pPr>
      <w:r>
        <w:rPr>
          <w:rFonts w:cs="Calibri" w:ascii="Calibri:onum=1" w:hAnsi="Calibri:onum=1" w:cstheme="minorHAnsi"/>
          <w:color w:val="000000"/>
          <w:sz w:val="24"/>
          <w:szCs w:val="24"/>
        </w:rPr>
        <w:t>Καλούμε την ηγεσία της ΠΟΣΔΕΠ, αντί να κάνει απαράδεκτες προτάσεις για «εθελοντική παραμονή μέχρι τα 70 έτη» των μελών ΔΕΠ, να καταγγείλει τη χρόνια υποχρηματοδότηση της εκπαίδευσης, τις θεσμικές πιέσεις για «πιστοποίηση» και «αξιολόγηση» με ορίζοντα τη συρρίκνωση της ισότητας των ευκαιριών για μεγάλα τμήματα της ελληνικής νεολαίας, αλλά και την ολοένα και μεγαλύτερη εμπορευματοποίηση της δημόσιας εκπαίδευσης, ιδιαίτερα τώρα με την ανάπτυξη της Εξ Αποστάσεως Εκπαίδευσης ως «φαρμάκου» για όλα τα κακά της παιδείας.</w:t>
      </w:r>
    </w:p>
    <w:p>
      <w:pPr>
        <w:pStyle w:val="Normal"/>
        <w:numPr>
          <w:ilvl w:val="0"/>
          <w:numId w:val="4"/>
        </w:numPr>
        <w:jc w:val="both"/>
        <w:rPr>
          <w:rFonts w:ascii="Calibri:onum=1" w:hAnsi="Calibri:onum=1"/>
          <w:color w:val="000000"/>
          <w:sz w:val="24"/>
          <w:szCs w:val="24"/>
        </w:rPr>
      </w:pPr>
      <w:r>
        <w:rPr>
          <w:rFonts w:cs="Calibri" w:ascii="Calibri:onum=1" w:hAnsi="Calibri:onum=1" w:cstheme="minorHAnsi"/>
          <w:color w:val="000000"/>
          <w:sz w:val="24"/>
          <w:szCs w:val="24"/>
        </w:rPr>
        <w:t>Καλούμε τις/τους φοιτήτριες/τές μας να μας στηρίξουν στους αγώνες που ανοίγονται μπροστά μας, από τη στιγμή που αγωνιζόμαστε και για το δικό τους αύριο (εκπαιδευτικό, εργασιακό, κοινωνικό).</w:t>
      </w:r>
    </w:p>
    <w:p>
      <w:pPr>
        <w:pStyle w:val="Normal"/>
        <w:numPr>
          <w:ilvl w:val="0"/>
          <w:numId w:val="4"/>
        </w:numPr>
        <w:jc w:val="both"/>
        <w:rPr>
          <w:rFonts w:ascii="Calibri:onum=1" w:hAnsi="Calibri:onum=1"/>
          <w:color w:val="000000"/>
          <w:sz w:val="24"/>
          <w:szCs w:val="24"/>
        </w:rPr>
      </w:pPr>
      <w:r>
        <w:rPr>
          <w:rFonts w:cs="Calibri" w:ascii="Calibri:onum=1" w:hAnsi="Calibri:onum=1" w:cstheme="minorHAnsi"/>
          <w:color w:val="000000"/>
          <w:sz w:val="24"/>
          <w:szCs w:val="24"/>
        </w:rPr>
        <w:t>Λέμε «ΟΧΙ» στο «Νέο Σχολείο» της επίτασης των ταξικών φραγμών, του εξεταστικού μαραθωνίου, της αποδόμησης των εργασιακών, δημοκρατικών και συλλογικών κατακτήσεων.</w:t>
      </w:r>
    </w:p>
    <w:p>
      <w:pPr>
        <w:pStyle w:val="Normal"/>
        <w:numPr>
          <w:ilvl w:val="0"/>
          <w:numId w:val="1"/>
        </w:numPr>
        <w:jc w:val="both"/>
        <w:rPr>
          <w:rFonts w:ascii="Calibri:onum=1" w:hAnsi="Calibri:onum=1"/>
          <w:color w:val="000000"/>
          <w:sz w:val="24"/>
          <w:szCs w:val="24"/>
        </w:rPr>
      </w:pPr>
      <w:r>
        <w:rPr>
          <w:rFonts w:ascii="Calibri:onum=1" w:hAnsi="Calibri:onum=1"/>
          <w:color w:val="000000"/>
          <w:sz w:val="24"/>
          <w:szCs w:val="24"/>
        </w:rPr>
        <w:t xml:space="preserve">Ζητάμε κατοχύρωση της σταθερής δουλειάς και οργανικής θέσης για όλους, και απαιτούμε μαζικούς διορισμούς μονίμων εκπαιδευτικών, σε όλα τα επίπεδα. </w:t>
      </w:r>
    </w:p>
    <w:p>
      <w:pPr>
        <w:pStyle w:val="Normal"/>
        <w:numPr>
          <w:ilvl w:val="0"/>
          <w:numId w:val="1"/>
        </w:numPr>
        <w:jc w:val="both"/>
        <w:rPr>
          <w:rFonts w:ascii="Calibri:onum=1" w:hAnsi="Calibri:onum=1"/>
          <w:color w:val="000000"/>
          <w:sz w:val="24"/>
          <w:szCs w:val="24"/>
        </w:rPr>
      </w:pPr>
      <w:r>
        <w:rPr>
          <w:rFonts w:ascii="Calibri:onum=1" w:hAnsi="Calibri:onum=1"/>
          <w:color w:val="000000"/>
          <w:sz w:val="24"/>
          <w:szCs w:val="24"/>
        </w:rPr>
        <w:t>Απαιτούμε την άμεση προκήρυξη όλων των απαιτούμενων θέσεων ΔΕΠ, εργαστηριακού, τεχνικού και διοικητικού προσωπικού.</w:t>
      </w:r>
    </w:p>
    <w:p>
      <w:pPr>
        <w:pStyle w:val="Normal"/>
        <w:numPr>
          <w:ilvl w:val="0"/>
          <w:numId w:val="1"/>
        </w:numPr>
        <w:jc w:val="both"/>
        <w:rPr>
          <w:rFonts w:ascii="Calibri:onum=1" w:hAnsi="Calibri:onum=1"/>
          <w:color w:val="000000"/>
          <w:sz w:val="24"/>
          <w:szCs w:val="24"/>
        </w:rPr>
      </w:pPr>
      <w:r>
        <w:rPr>
          <w:rFonts w:cs="Calibri" w:ascii="Calibri:onum=1" w:hAnsi="Calibri:onum=1" w:cstheme="minorHAnsi"/>
          <w:color w:val="000000"/>
          <w:sz w:val="24"/>
          <w:szCs w:val="24"/>
        </w:rPr>
        <w:t>Παλεύουμε για αξιοπρεπείς αμοιβές με πλήρη και αποκλειστική απασχόληση.</w:t>
      </w:r>
    </w:p>
    <w:p>
      <w:pPr>
        <w:pStyle w:val="Normal"/>
        <w:numPr>
          <w:ilvl w:val="0"/>
          <w:numId w:val="1"/>
        </w:numPr>
        <w:jc w:val="both"/>
        <w:rPr>
          <w:rFonts w:ascii="Calibri:onum=1" w:hAnsi="Calibri:onum=1"/>
          <w:color w:val="000000"/>
          <w:sz w:val="24"/>
          <w:szCs w:val="24"/>
        </w:rPr>
      </w:pPr>
      <w:r>
        <w:rPr>
          <w:rFonts w:ascii="Calibri:onum=1" w:hAnsi="Calibri:onum=1"/>
          <w:color w:val="000000"/>
          <w:sz w:val="24"/>
          <w:szCs w:val="24"/>
        </w:rPr>
        <w:t xml:space="preserve">Διεκδικούμε σύγχρονες υποδομές στέγασης, σίτισης για τους/τις φοιτητές/τριες. </w:t>
      </w:r>
    </w:p>
    <w:p>
      <w:pPr>
        <w:pStyle w:val="Normal"/>
        <w:numPr>
          <w:ilvl w:val="0"/>
          <w:numId w:val="1"/>
        </w:numPr>
        <w:jc w:val="both"/>
        <w:rPr>
          <w:rFonts w:ascii="Calibri:onum=1" w:hAnsi="Calibri:onum=1"/>
          <w:color w:val="000000"/>
          <w:sz w:val="24"/>
          <w:szCs w:val="24"/>
        </w:rPr>
      </w:pPr>
      <w:r>
        <w:rPr>
          <w:rFonts w:ascii="Calibri:onum=1" w:hAnsi="Calibri:onum=1"/>
          <w:color w:val="000000"/>
          <w:sz w:val="24"/>
          <w:szCs w:val="24"/>
        </w:rPr>
        <w:t>Διεκδικούμε ικανοποιητικές εργαστηριακές &amp; ερευνητικές υποδομές που να επιτρέπουν την παρακολούθηση και την ενσωμάτωση των νέων επιστημονικών εξελίξεων.</w:t>
      </w:r>
    </w:p>
    <w:p>
      <w:pPr>
        <w:pStyle w:val="Normal"/>
        <w:numPr>
          <w:ilvl w:val="0"/>
          <w:numId w:val="1"/>
        </w:numPr>
        <w:spacing w:before="0" w:after="160"/>
        <w:jc w:val="both"/>
        <w:rPr/>
      </w:pPr>
      <w:r>
        <w:rPr>
          <w:rStyle w:val="Style15"/>
          <w:rFonts w:ascii="Calibri:onum=1" w:hAnsi="Calibri:onum=1"/>
          <w:color w:val="000000"/>
          <w:sz w:val="24"/>
          <w:szCs w:val="24"/>
        </w:rPr>
        <w:t>Ο κόσμος της εκπαίδευσης θα αντισταθεί στη «νέα κανονικότητα» υπέρ του ιδιωτικού Κεφαλαίου. Το «μέλλον τους» δεν θέλουμε να είναι και δικό μας!</w:t>
      </w:r>
    </w:p>
    <w:sectPr>
      <w:headerReference w:type="default" r:id="rId2"/>
      <w:type w:val="nextPage"/>
      <w:pgSz w:w="11906" w:h="16838"/>
      <w:pgMar w:left="1304" w:right="1304" w:header="1020" w:top="1572" w:footer="0" w:bottom="96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auto"/>
    <w:pitch w:val="default"/>
  </w:font>
  <w:font w:name="OpenSymbol">
    <w:altName w:val="Arial Unicode MS"/>
    <w:charset w:val="01"/>
    <w:family w:val="auto"/>
    <w:pitch w:val="default"/>
  </w:font>
  <w:font w:name="Liberation Mono">
    <w:altName w:val="Courier New"/>
    <w:charset w:val="01"/>
    <w:family w:val="auto"/>
    <w:pitch w:val="default"/>
  </w:font>
  <w:font w:name="Calibri:onum=1">
    <w:charset w:val="01"/>
    <w:family w:val="auto"/>
    <w:pitch w:val="default"/>
  </w:font>
  <w:font w:name="Times New Roman">
    <w:charset w:val="01"/>
    <w:family w:val="auto"/>
    <w:pitch w:val="default"/>
  </w:font>
  <w:font w:name="Symbol">
    <w:charset w:val="02"/>
    <w:family w:val="auto"/>
    <w:pitch w:val="default"/>
  </w:font>
  <w:font w:name="Courier New">
    <w:charset w:val="01"/>
    <w:family w:val="auto"/>
    <w:pitch w:val="fixed"/>
  </w:font>
  <w:font w:name="Wingdings">
    <w:charset w:val="02"/>
    <w:family w:val="auto"/>
    <w:pitch w:val="default"/>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23"/>
      <w:spacing w:before="0" w:after="160"/>
      <w:jc w:val="right"/>
      <w:rPr/>
    </w:pPr>
    <w:r>
      <w:rPr/>
      <w:fldChar w:fldCharType="begin"/>
    </w:r>
    <w:r>
      <w:rPr/>
      <w:instrText> PAGE </w:instrText>
    </w:r>
    <w:r>
      <w:rPr/>
      <w:fldChar w:fldCharType="separate"/>
    </w:r>
    <w:r>
      <w:rPr/>
      <w:t>3</w:t>
    </w:r>
    <w:r>
      <w:rPr/>
      <w:fldChar w:fldCharType="end"/>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360" w:hanging="360"/>
      </w:pPr>
      <w:rPr>
        <w:rFonts w:ascii="Symbol" w:hAnsi="Symbol" w:cs="Symbol" w:hint="default"/>
        <w:sz w:val="24"/>
        <w:rFonts w:cs="Symbol"/>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Fonts w:cs="Wingdings"/>
      </w:rPr>
    </w:lvl>
    <w:lvl w:ilvl="3">
      <w:start w:val="1"/>
      <w:numFmt w:val="bullet"/>
      <w:lvlText w:val=""/>
      <w:lvlJc w:val="left"/>
      <w:pPr>
        <w:ind w:left="2520" w:hanging="360"/>
      </w:pPr>
      <w:rPr>
        <w:rFonts w:ascii="Symbol" w:hAnsi="Symbol" w:cs="Symbol" w:hint="default"/>
        <w:rFonts w:cs="Symbol"/>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Fonts w:cs="Wingdings"/>
      </w:rPr>
    </w:lvl>
    <w:lvl w:ilvl="6">
      <w:start w:val="1"/>
      <w:numFmt w:val="bullet"/>
      <w:lvlText w:val=""/>
      <w:lvlJc w:val="left"/>
      <w:pPr>
        <w:ind w:left="4680" w:hanging="360"/>
      </w:pPr>
      <w:rPr>
        <w:rFonts w:ascii="Symbol" w:hAnsi="Symbol" w:cs="Symbol" w:hint="default"/>
        <w:rFonts w:cs="Symbol"/>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Fonts w:cs="Wingdings"/>
      </w:rPr>
    </w:lvl>
  </w:abstractNum>
  <w:abstractNum w:abstractNumId="2">
    <w:lvl w:ilvl="0">
      <w:start w:val="1"/>
      <w:numFmt w:val="bullet"/>
      <w:lvlText w:val=""/>
      <w:lvlJc w:val="left"/>
      <w:pPr>
        <w:ind w:left="360" w:hanging="360"/>
      </w:pPr>
      <w:rPr>
        <w:rFonts w:ascii="Symbol" w:hAnsi="Symbol" w:cs="Symbol" w:hint="default"/>
        <w:sz w:val="24"/>
        <w:rFonts w:cs="Symbol"/>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Fonts w:cs="Wingdings"/>
      </w:rPr>
    </w:lvl>
    <w:lvl w:ilvl="3">
      <w:start w:val="1"/>
      <w:numFmt w:val="bullet"/>
      <w:lvlText w:val=""/>
      <w:lvlJc w:val="left"/>
      <w:pPr>
        <w:ind w:left="2520" w:hanging="360"/>
      </w:pPr>
      <w:rPr>
        <w:rFonts w:ascii="Symbol" w:hAnsi="Symbol" w:cs="Symbol" w:hint="default"/>
        <w:rFonts w:cs="Symbol"/>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Fonts w:cs="Wingdings"/>
      </w:rPr>
    </w:lvl>
    <w:lvl w:ilvl="6">
      <w:start w:val="1"/>
      <w:numFmt w:val="bullet"/>
      <w:lvlText w:val=""/>
      <w:lvlJc w:val="left"/>
      <w:pPr>
        <w:ind w:left="4680" w:hanging="360"/>
      </w:pPr>
      <w:rPr>
        <w:rFonts w:ascii="Symbol" w:hAnsi="Symbol" w:cs="Symbol" w:hint="default"/>
        <w:rFonts w:cs="Symbol"/>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Fonts w:cs="Wingdings"/>
      </w:rPr>
    </w:lvl>
  </w:abstractNum>
  <w:abstractNum w:abstractNumId="3">
    <w:lvl w:ilvl="0">
      <w:start w:val="1"/>
      <w:numFmt w:val="bullet"/>
      <w:lvlText w:val=""/>
      <w:lvlJc w:val="left"/>
      <w:pPr>
        <w:ind w:left="360" w:hanging="360"/>
      </w:pPr>
      <w:rPr>
        <w:rFonts w:ascii="Symbol" w:hAnsi="Symbol" w:cs="Symbol" w:hint="default"/>
        <w:sz w:val="24"/>
        <w:rFonts w:cs="Symbol"/>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Fonts w:cs="Wingdings"/>
      </w:rPr>
    </w:lvl>
    <w:lvl w:ilvl="3">
      <w:start w:val="1"/>
      <w:numFmt w:val="bullet"/>
      <w:lvlText w:val=""/>
      <w:lvlJc w:val="left"/>
      <w:pPr>
        <w:ind w:left="2520" w:hanging="360"/>
      </w:pPr>
      <w:rPr>
        <w:rFonts w:ascii="Symbol" w:hAnsi="Symbol" w:cs="Symbol" w:hint="default"/>
        <w:rFonts w:cs="Symbol"/>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Fonts w:cs="Wingdings"/>
      </w:rPr>
    </w:lvl>
    <w:lvl w:ilvl="6">
      <w:start w:val="1"/>
      <w:numFmt w:val="bullet"/>
      <w:lvlText w:val=""/>
      <w:lvlJc w:val="left"/>
      <w:pPr>
        <w:ind w:left="4680" w:hanging="360"/>
      </w:pPr>
      <w:rPr>
        <w:rFonts w:ascii="Symbol" w:hAnsi="Symbol" w:cs="Symbol" w:hint="default"/>
        <w:rFonts w:cs="Symbol"/>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Fonts w:cs="Wingdings"/>
      </w:rPr>
    </w:lvl>
  </w:abstractNum>
  <w:abstractNum w:abstractNumId="4">
    <w:lvl w:ilvl="0">
      <w:start w:val="1"/>
      <w:numFmt w:val="bullet"/>
      <w:lvlText w:val=""/>
      <w:lvlJc w:val="left"/>
      <w:pPr>
        <w:ind w:left="360" w:hanging="360"/>
      </w:pPr>
      <w:rPr>
        <w:rFonts w:ascii="Symbol" w:hAnsi="Symbol" w:cs="Symbol" w:hint="default"/>
        <w:sz w:val="24"/>
        <w:rFonts w:cs="Symbol"/>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Fonts w:cs="Wingdings"/>
      </w:rPr>
    </w:lvl>
    <w:lvl w:ilvl="3">
      <w:start w:val="1"/>
      <w:numFmt w:val="bullet"/>
      <w:lvlText w:val=""/>
      <w:lvlJc w:val="left"/>
      <w:pPr>
        <w:ind w:left="2520" w:hanging="360"/>
      </w:pPr>
      <w:rPr>
        <w:rFonts w:ascii="Symbol" w:hAnsi="Symbol" w:cs="Symbol" w:hint="default"/>
        <w:rFonts w:cs="Symbol"/>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Fonts w:cs="Wingdings"/>
      </w:rPr>
    </w:lvl>
    <w:lvl w:ilvl="6">
      <w:start w:val="1"/>
      <w:numFmt w:val="bullet"/>
      <w:lvlText w:val=""/>
      <w:lvlJc w:val="left"/>
      <w:pPr>
        <w:ind w:left="4680" w:hanging="360"/>
      </w:pPr>
      <w:rPr>
        <w:rFonts w:ascii="Symbol" w:hAnsi="Symbol" w:cs="Symbol" w:hint="default"/>
        <w:rFonts w:cs="Symbol"/>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Fonts w:cs="Wingdings"/>
      </w:r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6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l-G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l-GR" w:eastAsia="en-US" w:bidi="ar-SA"/>
      </w:rPr>
    </w:rPrDefault>
    <w:pPrDefault>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l-GR" w:eastAsia="en-US" w:bidi="ar-SA"/>
    </w:rPr>
  </w:style>
  <w:style w:type="character" w:styleId="DefaultParagraphFont" w:default="1">
    <w:name w:val="Default Paragraph Font"/>
    <w:uiPriority w:val="1"/>
    <w:semiHidden/>
    <w:unhideWhenUsed/>
    <w:qFormat/>
    <w:rPr/>
  </w:style>
  <w:style w:type="character" w:styleId="Style14" w:customStyle="1">
    <w:name w:val="Κουκκίδες"/>
    <w:qFormat/>
    <w:rPr>
      <w:rFonts w:ascii="OpenSymbol" w:hAnsi="OpenSymbol" w:eastAsia="OpenSymbol" w:cs="OpenSymbol"/>
    </w:rPr>
  </w:style>
  <w:style w:type="character" w:styleId="IntenseEmphasis">
    <w:name w:val="Intense Emphasis"/>
    <w:qFormat/>
    <w:rPr>
      <w:b/>
      <w:bCs/>
    </w:rPr>
  </w:style>
  <w:style w:type="character" w:styleId="Style15" w:customStyle="1">
    <w:name w:val="Τηλέτυπο"/>
    <w:qFormat/>
    <w:rPr>
      <w:rFonts w:ascii="Liberation Mono" w:hAnsi="Liberation Mono" w:eastAsia="Liberation Mono" w:cs="Liberation Mono"/>
    </w:rPr>
  </w:style>
  <w:style w:type="character" w:styleId="ListLabel23" w:customStyle="1">
    <w:name w:val="ListLabel 23"/>
    <w:qFormat/>
    <w:rPr>
      <w:rFonts w:cs="OpenSymbol"/>
    </w:rPr>
  </w:style>
  <w:style w:type="character" w:styleId="ListLabel24" w:customStyle="1">
    <w:name w:val="ListLabel 24"/>
    <w:qFormat/>
    <w:rPr>
      <w:rFonts w:cs="OpenSymbol"/>
    </w:rPr>
  </w:style>
  <w:style w:type="character" w:styleId="ListLabel25" w:customStyle="1">
    <w:name w:val="ListLabel 25"/>
    <w:qFormat/>
    <w:rPr>
      <w:rFonts w:cs="OpenSymbol"/>
    </w:rPr>
  </w:style>
  <w:style w:type="character" w:styleId="ListLabel26" w:customStyle="1">
    <w:name w:val="ListLabel 26"/>
    <w:qFormat/>
    <w:rPr>
      <w:rFonts w:cs="OpenSymbol"/>
    </w:rPr>
  </w:style>
  <w:style w:type="character" w:styleId="ListLabel27" w:customStyle="1">
    <w:name w:val="ListLabel 27"/>
    <w:qFormat/>
    <w:rPr>
      <w:rFonts w:cs="OpenSymbol"/>
    </w:rPr>
  </w:style>
  <w:style w:type="character" w:styleId="ListLabel28" w:customStyle="1">
    <w:name w:val="ListLabel 28"/>
    <w:qFormat/>
    <w:rPr>
      <w:rFonts w:cs="OpenSymbol"/>
    </w:rPr>
  </w:style>
  <w:style w:type="character" w:styleId="ListLabel29" w:customStyle="1">
    <w:name w:val="ListLabel 29"/>
    <w:qFormat/>
    <w:rPr>
      <w:rFonts w:cs="OpenSymbol"/>
    </w:rPr>
  </w:style>
  <w:style w:type="character" w:styleId="ListLabel30" w:customStyle="1">
    <w:name w:val="ListLabel 30"/>
    <w:qFormat/>
    <w:rPr>
      <w:rFonts w:cs="OpenSymbol"/>
    </w:rPr>
  </w:style>
  <w:style w:type="character" w:styleId="ListLabel31" w:customStyle="1">
    <w:name w:val="ListLabel 31"/>
    <w:qFormat/>
    <w:rPr>
      <w:rFonts w:cs="OpenSymbol"/>
    </w:rPr>
  </w:style>
  <w:style w:type="character" w:styleId="ListLabel32" w:customStyle="1">
    <w:name w:val="ListLabel 32"/>
    <w:qFormat/>
    <w:rPr>
      <w:rFonts w:ascii="Calibri:onum=1" w:hAnsi="Calibri:onum=1" w:cs="OpenSymbol"/>
    </w:rPr>
  </w:style>
  <w:style w:type="character" w:styleId="ListLabel33" w:customStyle="1">
    <w:name w:val="ListLabel 33"/>
    <w:qFormat/>
    <w:rPr>
      <w:rFonts w:cs="OpenSymbol"/>
    </w:rPr>
  </w:style>
  <w:style w:type="character" w:styleId="ListLabel34" w:customStyle="1">
    <w:name w:val="ListLabel 34"/>
    <w:qFormat/>
    <w:rPr>
      <w:rFonts w:cs="OpenSymbol"/>
    </w:rPr>
  </w:style>
  <w:style w:type="character" w:styleId="ListLabel35" w:customStyle="1">
    <w:name w:val="ListLabel 35"/>
    <w:qFormat/>
    <w:rPr>
      <w:rFonts w:cs="OpenSymbol"/>
    </w:rPr>
  </w:style>
  <w:style w:type="character" w:styleId="ListLabel36" w:customStyle="1">
    <w:name w:val="ListLabel 36"/>
    <w:qFormat/>
    <w:rPr>
      <w:rFonts w:cs="OpenSymbol"/>
    </w:rPr>
  </w:style>
  <w:style w:type="character" w:styleId="ListLabel37" w:customStyle="1">
    <w:name w:val="ListLabel 37"/>
    <w:qFormat/>
    <w:rPr>
      <w:rFonts w:cs="OpenSymbol"/>
    </w:rPr>
  </w:style>
  <w:style w:type="character" w:styleId="ListLabel38" w:customStyle="1">
    <w:name w:val="ListLabel 38"/>
    <w:qFormat/>
    <w:rPr>
      <w:rFonts w:cs="OpenSymbol"/>
    </w:rPr>
  </w:style>
  <w:style w:type="character" w:styleId="ListLabel39" w:customStyle="1">
    <w:name w:val="ListLabel 39"/>
    <w:qFormat/>
    <w:rPr>
      <w:rFonts w:cs="OpenSymbol"/>
    </w:rPr>
  </w:style>
  <w:style w:type="character" w:styleId="ListLabel40" w:customStyle="1">
    <w:name w:val="ListLabel 40"/>
    <w:qFormat/>
    <w:rPr>
      <w:rFonts w:cs="OpenSymbol"/>
    </w:rPr>
  </w:style>
  <w:style w:type="character" w:styleId="ListLabel41" w:customStyle="1">
    <w:name w:val="ListLabel 41"/>
    <w:qFormat/>
    <w:rPr>
      <w:rFonts w:ascii="Calibri:onum=1" w:hAnsi="Calibri:onum=1" w:cs="OpenSymbol"/>
      <w:b w:val="false"/>
      <w:sz w:val="22"/>
    </w:rPr>
  </w:style>
  <w:style w:type="character" w:styleId="ListLabel42" w:customStyle="1">
    <w:name w:val="ListLabel 42"/>
    <w:qFormat/>
    <w:rPr>
      <w:rFonts w:cs="OpenSymbol"/>
    </w:rPr>
  </w:style>
  <w:style w:type="character" w:styleId="ListLabel43" w:customStyle="1">
    <w:name w:val="ListLabel 43"/>
    <w:qFormat/>
    <w:rPr>
      <w:rFonts w:cs="OpenSymbol"/>
    </w:rPr>
  </w:style>
  <w:style w:type="character" w:styleId="ListLabel44" w:customStyle="1">
    <w:name w:val="ListLabel 44"/>
    <w:qFormat/>
    <w:rPr>
      <w:rFonts w:cs="OpenSymbol"/>
    </w:rPr>
  </w:style>
  <w:style w:type="character" w:styleId="ListLabel45" w:customStyle="1">
    <w:name w:val="ListLabel 45"/>
    <w:qFormat/>
    <w:rPr>
      <w:rFonts w:cs="OpenSymbol"/>
    </w:rPr>
  </w:style>
  <w:style w:type="character" w:styleId="ListLabel46" w:customStyle="1">
    <w:name w:val="ListLabel 46"/>
    <w:qFormat/>
    <w:rPr>
      <w:rFonts w:cs="OpenSymbol"/>
    </w:rPr>
  </w:style>
  <w:style w:type="character" w:styleId="ListLabel47" w:customStyle="1">
    <w:name w:val="ListLabel 47"/>
    <w:qFormat/>
    <w:rPr>
      <w:rFonts w:cs="OpenSymbol"/>
    </w:rPr>
  </w:style>
  <w:style w:type="character" w:styleId="ListLabel48" w:customStyle="1">
    <w:name w:val="ListLabel 48"/>
    <w:qFormat/>
    <w:rPr>
      <w:rFonts w:cs="OpenSymbol"/>
    </w:rPr>
  </w:style>
  <w:style w:type="character" w:styleId="ListLabel49" w:customStyle="1">
    <w:name w:val="ListLabel 49"/>
    <w:qFormat/>
    <w:rPr>
      <w:rFonts w:cs="OpenSymbol"/>
    </w:rPr>
  </w:style>
  <w:style w:type="character" w:styleId="ListLabel50" w:customStyle="1">
    <w:name w:val="ListLabel 50"/>
    <w:qFormat/>
    <w:rPr>
      <w:rFonts w:ascii="Calibri:onum=1" w:hAnsi="Calibri:onum=1" w:cs="OpenSymbol"/>
      <w:b w:val="false"/>
      <w:sz w:val="22"/>
    </w:rPr>
  </w:style>
  <w:style w:type="character" w:styleId="ListLabel51" w:customStyle="1">
    <w:name w:val="ListLabel 51"/>
    <w:qFormat/>
    <w:rPr>
      <w:rFonts w:cs="OpenSymbol"/>
    </w:rPr>
  </w:style>
  <w:style w:type="character" w:styleId="ListLabel52" w:customStyle="1">
    <w:name w:val="ListLabel 52"/>
    <w:qFormat/>
    <w:rPr>
      <w:rFonts w:cs="OpenSymbol"/>
    </w:rPr>
  </w:style>
  <w:style w:type="character" w:styleId="ListLabel53" w:customStyle="1">
    <w:name w:val="ListLabel 53"/>
    <w:qFormat/>
    <w:rPr>
      <w:rFonts w:cs="OpenSymbol"/>
    </w:rPr>
  </w:style>
  <w:style w:type="character" w:styleId="ListLabel54" w:customStyle="1">
    <w:name w:val="ListLabel 54"/>
    <w:qFormat/>
    <w:rPr>
      <w:rFonts w:cs="OpenSymbol"/>
    </w:rPr>
  </w:style>
  <w:style w:type="character" w:styleId="ListLabel55" w:customStyle="1">
    <w:name w:val="ListLabel 55"/>
    <w:qFormat/>
    <w:rPr>
      <w:rFonts w:cs="OpenSymbol"/>
    </w:rPr>
  </w:style>
  <w:style w:type="character" w:styleId="ListLabel56" w:customStyle="1">
    <w:name w:val="ListLabel 56"/>
    <w:qFormat/>
    <w:rPr>
      <w:rFonts w:cs="OpenSymbol"/>
    </w:rPr>
  </w:style>
  <w:style w:type="character" w:styleId="ListLabel57" w:customStyle="1">
    <w:name w:val="ListLabel 57"/>
    <w:qFormat/>
    <w:rPr>
      <w:rFonts w:cs="OpenSymbol"/>
    </w:rPr>
  </w:style>
  <w:style w:type="character" w:styleId="ListLabel58" w:customStyle="1">
    <w:name w:val="ListLabel 58"/>
    <w:qFormat/>
    <w:rPr>
      <w:rFonts w:cs="OpenSymbol"/>
    </w:rPr>
  </w:style>
  <w:style w:type="character" w:styleId="ListLabel59" w:customStyle="1">
    <w:name w:val="ListLabel 59"/>
    <w:qFormat/>
    <w:rPr>
      <w:rFonts w:cs="OpenSymbol"/>
      <w:b w:val="false"/>
      <w:sz w:val="22"/>
    </w:rPr>
  </w:style>
  <w:style w:type="character" w:styleId="ListLabel60" w:customStyle="1">
    <w:name w:val="ListLabel 60"/>
    <w:qFormat/>
    <w:rPr>
      <w:rFonts w:cs="OpenSymbol"/>
    </w:rPr>
  </w:style>
  <w:style w:type="character" w:styleId="ListLabel61" w:customStyle="1">
    <w:name w:val="ListLabel 61"/>
    <w:qFormat/>
    <w:rPr>
      <w:rFonts w:cs="OpenSymbol"/>
    </w:rPr>
  </w:style>
  <w:style w:type="character" w:styleId="ListLabel62" w:customStyle="1">
    <w:name w:val="ListLabel 62"/>
    <w:qFormat/>
    <w:rPr>
      <w:rFonts w:cs="OpenSymbol"/>
    </w:rPr>
  </w:style>
  <w:style w:type="character" w:styleId="ListLabel63" w:customStyle="1">
    <w:name w:val="ListLabel 63"/>
    <w:qFormat/>
    <w:rPr>
      <w:rFonts w:cs="OpenSymbol"/>
    </w:rPr>
  </w:style>
  <w:style w:type="character" w:styleId="ListLabel64" w:customStyle="1">
    <w:name w:val="ListLabel 64"/>
    <w:qFormat/>
    <w:rPr>
      <w:rFonts w:cs="OpenSymbol"/>
    </w:rPr>
  </w:style>
  <w:style w:type="character" w:styleId="ListLabel65" w:customStyle="1">
    <w:name w:val="ListLabel 65"/>
    <w:qFormat/>
    <w:rPr>
      <w:rFonts w:cs="OpenSymbol"/>
    </w:rPr>
  </w:style>
  <w:style w:type="character" w:styleId="ListLabel66" w:customStyle="1">
    <w:name w:val="ListLabel 66"/>
    <w:qFormat/>
    <w:rPr>
      <w:rFonts w:cs="OpenSymbol"/>
    </w:rPr>
  </w:style>
  <w:style w:type="character" w:styleId="ListLabel67" w:customStyle="1">
    <w:name w:val="ListLabel 67"/>
    <w:qFormat/>
    <w:rPr>
      <w:rFonts w:cs="OpenSymbol"/>
    </w:rPr>
  </w:style>
  <w:style w:type="character" w:styleId="ListLabel68" w:customStyle="1">
    <w:name w:val="ListLabel 68"/>
    <w:qFormat/>
    <w:rPr>
      <w:rFonts w:ascii="Calibri" w:hAnsi="Calibri" w:cs="OpenSymbol"/>
      <w:b w:val="false"/>
      <w:sz w:val="22"/>
    </w:rPr>
  </w:style>
  <w:style w:type="character" w:styleId="ListLabel69" w:customStyle="1">
    <w:name w:val="ListLabel 69"/>
    <w:qFormat/>
    <w:rPr>
      <w:rFonts w:cs="OpenSymbol"/>
    </w:rPr>
  </w:style>
  <w:style w:type="character" w:styleId="ListLabel70" w:customStyle="1">
    <w:name w:val="ListLabel 70"/>
    <w:qFormat/>
    <w:rPr>
      <w:rFonts w:cs="OpenSymbol"/>
    </w:rPr>
  </w:style>
  <w:style w:type="character" w:styleId="ListLabel71" w:customStyle="1">
    <w:name w:val="ListLabel 71"/>
    <w:qFormat/>
    <w:rPr>
      <w:rFonts w:cs="OpenSymbol"/>
    </w:rPr>
  </w:style>
  <w:style w:type="character" w:styleId="ListLabel72" w:customStyle="1">
    <w:name w:val="ListLabel 72"/>
    <w:qFormat/>
    <w:rPr>
      <w:rFonts w:cs="OpenSymbol"/>
    </w:rPr>
  </w:style>
  <w:style w:type="character" w:styleId="ListLabel73" w:customStyle="1">
    <w:name w:val="ListLabel 73"/>
    <w:qFormat/>
    <w:rPr>
      <w:rFonts w:cs="OpenSymbol"/>
    </w:rPr>
  </w:style>
  <w:style w:type="character" w:styleId="ListLabel74" w:customStyle="1">
    <w:name w:val="ListLabel 74"/>
    <w:qFormat/>
    <w:rPr>
      <w:rFonts w:cs="OpenSymbol"/>
    </w:rPr>
  </w:style>
  <w:style w:type="character" w:styleId="ListLabel75" w:customStyle="1">
    <w:name w:val="ListLabel 75"/>
    <w:qFormat/>
    <w:rPr>
      <w:rFonts w:cs="OpenSymbol"/>
    </w:rPr>
  </w:style>
  <w:style w:type="character" w:styleId="ListLabel76" w:customStyle="1">
    <w:name w:val="ListLabel 76"/>
    <w:qFormat/>
    <w:rPr>
      <w:rFonts w:cs="OpenSymbol"/>
    </w:rPr>
  </w:style>
  <w:style w:type="character" w:styleId="ListLabel77" w:customStyle="1">
    <w:name w:val="ListLabel 77"/>
    <w:qFormat/>
    <w:rPr>
      <w:rFonts w:ascii="Calibri" w:hAnsi="Calibri" w:cs="OpenSymbol"/>
      <w:b w:val="false"/>
      <w:sz w:val="22"/>
    </w:rPr>
  </w:style>
  <w:style w:type="character" w:styleId="ListLabel78" w:customStyle="1">
    <w:name w:val="ListLabel 78"/>
    <w:qFormat/>
    <w:rPr>
      <w:rFonts w:cs="OpenSymbol"/>
    </w:rPr>
  </w:style>
  <w:style w:type="character" w:styleId="ListLabel79" w:customStyle="1">
    <w:name w:val="ListLabel 79"/>
    <w:qFormat/>
    <w:rPr>
      <w:rFonts w:cs="OpenSymbol"/>
    </w:rPr>
  </w:style>
  <w:style w:type="character" w:styleId="ListLabel80" w:customStyle="1">
    <w:name w:val="ListLabel 80"/>
    <w:qFormat/>
    <w:rPr>
      <w:rFonts w:cs="OpenSymbol"/>
    </w:rPr>
  </w:style>
  <w:style w:type="character" w:styleId="ListLabel81" w:customStyle="1">
    <w:name w:val="ListLabel 81"/>
    <w:qFormat/>
    <w:rPr>
      <w:rFonts w:cs="OpenSymbol"/>
    </w:rPr>
  </w:style>
  <w:style w:type="character" w:styleId="ListLabel82" w:customStyle="1">
    <w:name w:val="ListLabel 82"/>
    <w:qFormat/>
    <w:rPr>
      <w:rFonts w:cs="OpenSymbol"/>
    </w:rPr>
  </w:style>
  <w:style w:type="character" w:styleId="ListLabel83" w:customStyle="1">
    <w:name w:val="ListLabel 83"/>
    <w:qFormat/>
    <w:rPr>
      <w:rFonts w:cs="OpenSymbol"/>
    </w:rPr>
  </w:style>
  <w:style w:type="character" w:styleId="ListLabel84" w:customStyle="1">
    <w:name w:val="ListLabel 84"/>
    <w:qFormat/>
    <w:rPr>
      <w:rFonts w:cs="OpenSymbol"/>
    </w:rPr>
  </w:style>
  <w:style w:type="character" w:styleId="ListLabel85" w:customStyle="1">
    <w:name w:val="ListLabel 85"/>
    <w:qFormat/>
    <w:rPr>
      <w:rFonts w:cs="OpenSymbol"/>
    </w:rPr>
  </w:style>
  <w:style w:type="character" w:styleId="Style16" w:customStyle="1">
    <w:name w:val="Χαρακτήρες αρίθμησης"/>
    <w:qFormat/>
    <w:rPr/>
  </w:style>
  <w:style w:type="character" w:styleId="ListLabel169" w:customStyle="1">
    <w:name w:val="ListLabel 169"/>
    <w:qFormat/>
    <w:rPr>
      <w:rFonts w:cs="Symbol"/>
      <w:sz w:val="24"/>
    </w:rPr>
  </w:style>
  <w:style w:type="character" w:styleId="ListLabel170" w:customStyle="1">
    <w:name w:val="ListLabel 170"/>
    <w:qFormat/>
    <w:rPr>
      <w:rFonts w:cs="Courier New"/>
    </w:rPr>
  </w:style>
  <w:style w:type="character" w:styleId="ListLabel171" w:customStyle="1">
    <w:name w:val="ListLabel 171"/>
    <w:qFormat/>
    <w:rPr>
      <w:rFonts w:cs="Wingdings"/>
    </w:rPr>
  </w:style>
  <w:style w:type="character" w:styleId="ListLabel172" w:customStyle="1">
    <w:name w:val="ListLabel 172"/>
    <w:qFormat/>
    <w:rPr>
      <w:rFonts w:cs="Symbol"/>
    </w:rPr>
  </w:style>
  <w:style w:type="character" w:styleId="ListLabel173" w:customStyle="1">
    <w:name w:val="ListLabel 173"/>
    <w:qFormat/>
    <w:rPr>
      <w:rFonts w:cs="Courier New"/>
    </w:rPr>
  </w:style>
  <w:style w:type="character" w:styleId="ListLabel174" w:customStyle="1">
    <w:name w:val="ListLabel 174"/>
    <w:qFormat/>
    <w:rPr>
      <w:rFonts w:cs="Wingdings"/>
    </w:rPr>
  </w:style>
  <w:style w:type="character" w:styleId="ListLabel175" w:customStyle="1">
    <w:name w:val="ListLabel 175"/>
    <w:qFormat/>
    <w:rPr>
      <w:rFonts w:cs="Symbol"/>
    </w:rPr>
  </w:style>
  <w:style w:type="character" w:styleId="ListLabel176" w:customStyle="1">
    <w:name w:val="ListLabel 176"/>
    <w:qFormat/>
    <w:rPr>
      <w:rFonts w:cs="Courier New"/>
    </w:rPr>
  </w:style>
  <w:style w:type="character" w:styleId="ListLabel177" w:customStyle="1">
    <w:name w:val="ListLabel 177"/>
    <w:qFormat/>
    <w:rPr>
      <w:rFonts w:cs="Wingdings"/>
    </w:rPr>
  </w:style>
  <w:style w:type="character" w:styleId="1" w:customStyle="1">
    <w:name w:val="Έμφαση1"/>
    <w:qFormat/>
    <w:rPr>
      <w:i/>
      <w:iCs/>
    </w:rPr>
  </w:style>
  <w:style w:type="character" w:styleId="ListLabel151" w:customStyle="1">
    <w:name w:val="ListLabel 151"/>
    <w:qFormat/>
    <w:rPr>
      <w:rFonts w:cs="Symbol"/>
    </w:rPr>
  </w:style>
  <w:style w:type="character" w:styleId="ListLabel152" w:customStyle="1">
    <w:name w:val="ListLabel 152"/>
    <w:qFormat/>
    <w:rPr>
      <w:rFonts w:cs="Courier New"/>
    </w:rPr>
  </w:style>
  <w:style w:type="character" w:styleId="ListLabel153" w:customStyle="1">
    <w:name w:val="ListLabel 153"/>
    <w:qFormat/>
    <w:rPr>
      <w:rFonts w:cs="Wingdings"/>
    </w:rPr>
  </w:style>
  <w:style w:type="character" w:styleId="ListLabel154" w:customStyle="1">
    <w:name w:val="ListLabel 154"/>
    <w:qFormat/>
    <w:rPr>
      <w:rFonts w:cs="Symbol"/>
    </w:rPr>
  </w:style>
  <w:style w:type="character" w:styleId="ListLabel155" w:customStyle="1">
    <w:name w:val="ListLabel 155"/>
    <w:qFormat/>
    <w:rPr>
      <w:rFonts w:cs="Courier New"/>
    </w:rPr>
  </w:style>
  <w:style w:type="character" w:styleId="ListLabel156" w:customStyle="1">
    <w:name w:val="ListLabel 156"/>
    <w:qFormat/>
    <w:rPr>
      <w:rFonts w:cs="Wingdings"/>
    </w:rPr>
  </w:style>
  <w:style w:type="character" w:styleId="ListLabel157" w:customStyle="1">
    <w:name w:val="ListLabel 157"/>
    <w:qFormat/>
    <w:rPr>
      <w:rFonts w:cs="Symbol"/>
    </w:rPr>
  </w:style>
  <w:style w:type="character" w:styleId="ListLabel158" w:customStyle="1">
    <w:name w:val="ListLabel 158"/>
    <w:qFormat/>
    <w:rPr>
      <w:rFonts w:cs="Courier New"/>
    </w:rPr>
  </w:style>
  <w:style w:type="character" w:styleId="ListLabel159" w:customStyle="1">
    <w:name w:val="ListLabel 159"/>
    <w:qFormat/>
    <w:rPr>
      <w:rFonts w:cs="Wingdings"/>
    </w:rPr>
  </w:style>
  <w:style w:type="character" w:styleId="ListLabel142" w:customStyle="1">
    <w:name w:val="ListLabel 142"/>
    <w:qFormat/>
    <w:rPr>
      <w:rFonts w:cs="Symbol"/>
      <w:sz w:val="24"/>
    </w:rPr>
  </w:style>
  <w:style w:type="character" w:styleId="ListLabel143" w:customStyle="1">
    <w:name w:val="ListLabel 143"/>
    <w:qFormat/>
    <w:rPr>
      <w:rFonts w:cs="Courier New"/>
    </w:rPr>
  </w:style>
  <w:style w:type="character" w:styleId="ListLabel144" w:customStyle="1">
    <w:name w:val="ListLabel 144"/>
    <w:qFormat/>
    <w:rPr>
      <w:rFonts w:cs="Wingdings"/>
    </w:rPr>
  </w:style>
  <w:style w:type="character" w:styleId="ListLabel145" w:customStyle="1">
    <w:name w:val="ListLabel 145"/>
    <w:qFormat/>
    <w:rPr>
      <w:rFonts w:cs="Symbol"/>
    </w:rPr>
  </w:style>
  <w:style w:type="character" w:styleId="ListLabel146" w:customStyle="1">
    <w:name w:val="ListLabel 146"/>
    <w:qFormat/>
    <w:rPr>
      <w:rFonts w:cs="Courier New"/>
    </w:rPr>
  </w:style>
  <w:style w:type="character" w:styleId="ListLabel147" w:customStyle="1">
    <w:name w:val="ListLabel 147"/>
    <w:qFormat/>
    <w:rPr>
      <w:rFonts w:cs="Wingdings"/>
    </w:rPr>
  </w:style>
  <w:style w:type="character" w:styleId="ListLabel148" w:customStyle="1">
    <w:name w:val="ListLabel 148"/>
    <w:qFormat/>
    <w:rPr>
      <w:rFonts w:cs="Symbol"/>
    </w:rPr>
  </w:style>
  <w:style w:type="character" w:styleId="ListLabel149" w:customStyle="1">
    <w:name w:val="ListLabel 149"/>
    <w:qFormat/>
    <w:rPr>
      <w:rFonts w:cs="Courier New"/>
    </w:rPr>
  </w:style>
  <w:style w:type="character" w:styleId="ListLabel150" w:customStyle="1">
    <w:name w:val="ListLabel 150"/>
    <w:qFormat/>
    <w:rPr>
      <w:rFonts w:cs="Wingdings"/>
    </w:rPr>
  </w:style>
  <w:style w:type="character" w:styleId="ListLabel160" w:customStyle="1">
    <w:name w:val="ListLabel 160"/>
    <w:qFormat/>
    <w:rPr>
      <w:rFonts w:cs="Symbol"/>
      <w:sz w:val="24"/>
    </w:rPr>
  </w:style>
  <w:style w:type="character" w:styleId="ListLabel161" w:customStyle="1">
    <w:name w:val="ListLabel 161"/>
    <w:qFormat/>
    <w:rPr>
      <w:rFonts w:cs="Courier New"/>
    </w:rPr>
  </w:style>
  <w:style w:type="character" w:styleId="ListLabel162" w:customStyle="1">
    <w:name w:val="ListLabel 162"/>
    <w:qFormat/>
    <w:rPr>
      <w:rFonts w:cs="Wingdings"/>
    </w:rPr>
  </w:style>
  <w:style w:type="character" w:styleId="ListLabel163" w:customStyle="1">
    <w:name w:val="ListLabel 163"/>
    <w:qFormat/>
    <w:rPr>
      <w:rFonts w:cs="Symbol"/>
    </w:rPr>
  </w:style>
  <w:style w:type="character" w:styleId="ListLabel164" w:customStyle="1">
    <w:name w:val="ListLabel 164"/>
    <w:qFormat/>
    <w:rPr>
      <w:rFonts w:cs="Courier New"/>
    </w:rPr>
  </w:style>
  <w:style w:type="character" w:styleId="ListLabel165" w:customStyle="1">
    <w:name w:val="ListLabel 165"/>
    <w:qFormat/>
    <w:rPr>
      <w:rFonts w:cs="Wingdings"/>
    </w:rPr>
  </w:style>
  <w:style w:type="character" w:styleId="ListLabel166" w:customStyle="1">
    <w:name w:val="ListLabel 166"/>
    <w:qFormat/>
    <w:rPr>
      <w:rFonts w:cs="Symbol"/>
    </w:rPr>
  </w:style>
  <w:style w:type="character" w:styleId="ListLabel167" w:customStyle="1">
    <w:name w:val="ListLabel 167"/>
    <w:qFormat/>
    <w:rPr>
      <w:rFonts w:cs="Courier New"/>
    </w:rPr>
  </w:style>
  <w:style w:type="character" w:styleId="ListLabel168" w:customStyle="1">
    <w:name w:val="ListLabel 168"/>
    <w:qFormat/>
    <w:rPr>
      <w:rFonts w:cs="Wingdings"/>
    </w:rPr>
  </w:style>
  <w:style w:type="character" w:styleId="ListLabel178">
    <w:name w:val="ListLabel 178"/>
    <w:qFormat/>
    <w:rPr>
      <w:rFonts w:ascii="Calibri:onum=1" w:hAnsi="Calibri:onum=1" w:cs="Symbol"/>
      <w:sz w:val="24"/>
    </w:rPr>
  </w:style>
  <w:style w:type="character" w:styleId="ListLabel179">
    <w:name w:val="ListLabel 179"/>
    <w:qFormat/>
    <w:rPr>
      <w:rFonts w:cs="Courier New"/>
    </w:rPr>
  </w:style>
  <w:style w:type="character" w:styleId="ListLabel180">
    <w:name w:val="ListLabel 180"/>
    <w:qFormat/>
    <w:rPr>
      <w:rFonts w:cs="Wingdings"/>
    </w:rPr>
  </w:style>
  <w:style w:type="character" w:styleId="ListLabel181">
    <w:name w:val="ListLabel 181"/>
    <w:qFormat/>
    <w:rPr>
      <w:rFonts w:cs="Symbol"/>
    </w:rPr>
  </w:style>
  <w:style w:type="character" w:styleId="ListLabel182">
    <w:name w:val="ListLabel 182"/>
    <w:qFormat/>
    <w:rPr>
      <w:rFonts w:cs="Courier New"/>
    </w:rPr>
  </w:style>
  <w:style w:type="character" w:styleId="ListLabel183">
    <w:name w:val="ListLabel 183"/>
    <w:qFormat/>
    <w:rPr>
      <w:rFonts w:cs="Wingdings"/>
    </w:rPr>
  </w:style>
  <w:style w:type="character" w:styleId="ListLabel184">
    <w:name w:val="ListLabel 184"/>
    <w:qFormat/>
    <w:rPr>
      <w:rFonts w:cs="Symbol"/>
    </w:rPr>
  </w:style>
  <w:style w:type="character" w:styleId="ListLabel185">
    <w:name w:val="ListLabel 185"/>
    <w:qFormat/>
    <w:rPr>
      <w:rFonts w:cs="Courier New"/>
    </w:rPr>
  </w:style>
  <w:style w:type="character" w:styleId="ListLabel186">
    <w:name w:val="ListLabel 186"/>
    <w:qFormat/>
    <w:rPr>
      <w:rFonts w:cs="Wingdings"/>
    </w:rPr>
  </w:style>
  <w:style w:type="character" w:styleId="ListLabel187">
    <w:name w:val="ListLabel 187"/>
    <w:qFormat/>
    <w:rPr>
      <w:rFonts w:ascii="Calibri:onum=1" w:hAnsi="Calibri:onum=1" w:cs="Symbol"/>
      <w:sz w:val="24"/>
    </w:rPr>
  </w:style>
  <w:style w:type="character" w:styleId="ListLabel188">
    <w:name w:val="ListLabel 188"/>
    <w:qFormat/>
    <w:rPr>
      <w:rFonts w:cs="Courier New"/>
    </w:rPr>
  </w:style>
  <w:style w:type="character" w:styleId="ListLabel189">
    <w:name w:val="ListLabel 189"/>
    <w:qFormat/>
    <w:rPr>
      <w:rFonts w:cs="Wingdings"/>
    </w:rPr>
  </w:style>
  <w:style w:type="character" w:styleId="ListLabel190">
    <w:name w:val="ListLabel 190"/>
    <w:qFormat/>
    <w:rPr>
      <w:rFonts w:cs="Symbol"/>
    </w:rPr>
  </w:style>
  <w:style w:type="character" w:styleId="ListLabel191">
    <w:name w:val="ListLabel 191"/>
    <w:qFormat/>
    <w:rPr>
      <w:rFonts w:cs="Courier New"/>
    </w:rPr>
  </w:style>
  <w:style w:type="character" w:styleId="ListLabel192">
    <w:name w:val="ListLabel 192"/>
    <w:qFormat/>
    <w:rPr>
      <w:rFonts w:cs="Wingdings"/>
    </w:rPr>
  </w:style>
  <w:style w:type="character" w:styleId="ListLabel193">
    <w:name w:val="ListLabel 193"/>
    <w:qFormat/>
    <w:rPr>
      <w:rFonts w:cs="Symbol"/>
    </w:rPr>
  </w:style>
  <w:style w:type="character" w:styleId="ListLabel194">
    <w:name w:val="ListLabel 194"/>
    <w:qFormat/>
    <w:rPr>
      <w:rFonts w:cs="Courier New"/>
    </w:rPr>
  </w:style>
  <w:style w:type="character" w:styleId="ListLabel195">
    <w:name w:val="ListLabel 195"/>
    <w:qFormat/>
    <w:rPr>
      <w:rFonts w:cs="Wingdings"/>
    </w:rPr>
  </w:style>
  <w:style w:type="character" w:styleId="ListLabel196">
    <w:name w:val="ListLabel 196"/>
    <w:qFormat/>
    <w:rPr>
      <w:rFonts w:ascii="Calibri:onum=1" w:hAnsi="Calibri:onum=1" w:cs="Symbol"/>
      <w:sz w:val="24"/>
    </w:rPr>
  </w:style>
  <w:style w:type="character" w:styleId="ListLabel197">
    <w:name w:val="ListLabel 197"/>
    <w:qFormat/>
    <w:rPr>
      <w:rFonts w:cs="Courier New"/>
    </w:rPr>
  </w:style>
  <w:style w:type="character" w:styleId="ListLabel198">
    <w:name w:val="ListLabel 198"/>
    <w:qFormat/>
    <w:rPr>
      <w:rFonts w:cs="Wingdings"/>
    </w:rPr>
  </w:style>
  <w:style w:type="character" w:styleId="ListLabel199">
    <w:name w:val="ListLabel 199"/>
    <w:qFormat/>
    <w:rPr>
      <w:rFonts w:cs="Symbol"/>
    </w:rPr>
  </w:style>
  <w:style w:type="character" w:styleId="ListLabel200">
    <w:name w:val="ListLabel 200"/>
    <w:qFormat/>
    <w:rPr>
      <w:rFonts w:cs="Courier New"/>
    </w:rPr>
  </w:style>
  <w:style w:type="character" w:styleId="ListLabel201">
    <w:name w:val="ListLabel 201"/>
    <w:qFormat/>
    <w:rPr>
      <w:rFonts w:cs="Wingdings"/>
    </w:rPr>
  </w:style>
  <w:style w:type="character" w:styleId="ListLabel202">
    <w:name w:val="ListLabel 202"/>
    <w:qFormat/>
    <w:rPr>
      <w:rFonts w:cs="Symbol"/>
    </w:rPr>
  </w:style>
  <w:style w:type="character" w:styleId="ListLabel203">
    <w:name w:val="ListLabel 203"/>
    <w:qFormat/>
    <w:rPr>
      <w:rFonts w:cs="Courier New"/>
    </w:rPr>
  </w:style>
  <w:style w:type="character" w:styleId="ListLabel204">
    <w:name w:val="ListLabel 204"/>
    <w:qFormat/>
    <w:rPr>
      <w:rFonts w:cs="Wingdings"/>
    </w:rPr>
  </w:style>
  <w:style w:type="character" w:styleId="ListLabel205">
    <w:name w:val="ListLabel 205"/>
    <w:qFormat/>
    <w:rPr>
      <w:rFonts w:ascii="Calibri:onum=1" w:hAnsi="Calibri:onum=1" w:cs="Symbol"/>
      <w:sz w:val="24"/>
    </w:rPr>
  </w:style>
  <w:style w:type="character" w:styleId="ListLabel206">
    <w:name w:val="ListLabel 206"/>
    <w:qFormat/>
    <w:rPr>
      <w:rFonts w:cs="Courier New"/>
    </w:rPr>
  </w:style>
  <w:style w:type="character" w:styleId="ListLabel207">
    <w:name w:val="ListLabel 207"/>
    <w:qFormat/>
    <w:rPr>
      <w:rFonts w:cs="Wingdings"/>
    </w:rPr>
  </w:style>
  <w:style w:type="character" w:styleId="ListLabel208">
    <w:name w:val="ListLabel 208"/>
    <w:qFormat/>
    <w:rPr>
      <w:rFonts w:cs="Symbol"/>
    </w:rPr>
  </w:style>
  <w:style w:type="character" w:styleId="ListLabel209">
    <w:name w:val="ListLabel 209"/>
    <w:qFormat/>
    <w:rPr>
      <w:rFonts w:cs="Courier New"/>
    </w:rPr>
  </w:style>
  <w:style w:type="character" w:styleId="ListLabel210">
    <w:name w:val="ListLabel 210"/>
    <w:qFormat/>
    <w:rPr>
      <w:rFonts w:cs="Wingdings"/>
    </w:rPr>
  </w:style>
  <w:style w:type="character" w:styleId="ListLabel211">
    <w:name w:val="ListLabel 211"/>
    <w:qFormat/>
    <w:rPr>
      <w:rFonts w:cs="Symbol"/>
    </w:rPr>
  </w:style>
  <w:style w:type="character" w:styleId="ListLabel212">
    <w:name w:val="ListLabel 212"/>
    <w:qFormat/>
    <w:rPr>
      <w:rFonts w:cs="Courier New"/>
    </w:rPr>
  </w:style>
  <w:style w:type="character" w:styleId="ListLabel213">
    <w:name w:val="ListLabel 213"/>
    <w:qFormat/>
    <w:rPr>
      <w:rFonts w:cs="Wingdings"/>
    </w:rPr>
  </w:style>
  <w:style w:type="paragraph" w:styleId="Style17" w:customStyle="1">
    <w:name w:val="Επικεφαλίδα"/>
    <w:basedOn w:val="Normal"/>
    <w:next w:val="Style18"/>
    <w:qFormat/>
    <w:pPr>
      <w:keepNext w:val="true"/>
      <w:spacing w:before="240" w:after="120"/>
    </w:pPr>
    <w:rPr>
      <w:rFonts w:ascii="Calibri:onum=1" w:hAnsi="Calibri:onum=1" w:eastAsia="AR PL SungtiL GB" w:cs="Lohit Devanagari"/>
      <w:sz w:val="28"/>
      <w:szCs w:val="28"/>
    </w:rPr>
  </w:style>
  <w:style w:type="paragraph" w:styleId="Style18">
    <w:name w:val="Body Text"/>
    <w:basedOn w:val="Normal"/>
    <w:pPr>
      <w:spacing w:lineRule="auto" w:line="276" w:before="0" w:after="140"/>
    </w:pPr>
    <w:rPr/>
  </w:style>
  <w:style w:type="paragraph" w:styleId="Style19">
    <w:name w:val="List"/>
    <w:basedOn w:val="Style18"/>
    <w:pPr/>
    <w:rPr>
      <w:rFonts w:ascii="Calibri:onum=1" w:hAnsi="Calibri:onum=1" w:cs="Lohit Devanagari"/>
    </w:rPr>
  </w:style>
  <w:style w:type="paragraph" w:styleId="Style20">
    <w:name w:val="Caption"/>
    <w:basedOn w:val="Normal"/>
    <w:qFormat/>
    <w:pPr>
      <w:suppressLineNumbers/>
      <w:spacing w:before="120" w:after="120"/>
    </w:pPr>
    <w:rPr>
      <w:rFonts w:ascii="Calibri:onum=1" w:hAnsi="Calibri:onum=1" w:cs="Lohit Devanagari"/>
      <w:i/>
      <w:iCs/>
      <w:sz w:val="24"/>
      <w:szCs w:val="24"/>
    </w:rPr>
  </w:style>
  <w:style w:type="paragraph" w:styleId="Style21" w:customStyle="1">
    <w:name w:val="Ευρετήριο"/>
    <w:basedOn w:val="Normal"/>
    <w:qFormat/>
    <w:pPr>
      <w:suppressLineNumbers/>
    </w:pPr>
    <w:rPr>
      <w:rFonts w:ascii="Calibri:onum=1" w:hAnsi="Calibri:onum=1" w:cs="Lohit Devanagari"/>
    </w:rPr>
  </w:style>
  <w:style w:type="paragraph" w:styleId="Caption">
    <w:name w:val="caption"/>
    <w:basedOn w:val="Normal"/>
    <w:qFormat/>
    <w:pPr>
      <w:suppressLineNumbers/>
      <w:spacing w:before="120" w:after="120"/>
    </w:pPr>
    <w:rPr>
      <w:rFonts w:ascii="Calibri:onum=1" w:hAnsi="Calibri:onum=1" w:cs="Lohit Devanagari"/>
      <w:i/>
      <w:iCs/>
      <w:sz w:val="24"/>
      <w:szCs w:val="24"/>
    </w:rPr>
  </w:style>
  <w:style w:type="paragraph" w:styleId="Style22" w:customStyle="1">
    <w:name w:val="Προμορφοποιημένο κείμενο"/>
    <w:basedOn w:val="Normal"/>
    <w:qFormat/>
    <w:pPr>
      <w:spacing w:before="0" w:after="0"/>
    </w:pPr>
    <w:rPr>
      <w:rFonts w:ascii="Liberation Mono" w:hAnsi="Liberation Mono" w:eastAsia="Liberation Mono" w:cs="Liberation Mono"/>
      <w:sz w:val="20"/>
      <w:szCs w:val="20"/>
    </w:rPr>
  </w:style>
  <w:style w:type="paragraph" w:styleId="NormalWeb">
    <w:name w:val="Normal (Web)"/>
    <w:basedOn w:val="Normal"/>
    <w:qFormat/>
    <w:pPr>
      <w:spacing w:beforeAutospacing="1" w:afterAutospacing="1"/>
    </w:pPr>
    <w:rPr>
      <w:rFonts w:ascii="Times New Roman" w:hAnsi="Times New Roman" w:eastAsia="Times New Roman" w:cs="Times New Roman"/>
      <w:lang w:val="en-US"/>
    </w:rPr>
  </w:style>
  <w:style w:type="paragraph" w:styleId="ListParagraph">
    <w:name w:val="List Paragraph"/>
    <w:basedOn w:val="Normal"/>
    <w:qFormat/>
    <w:pPr>
      <w:spacing w:before="0" w:after="200"/>
      <w:ind w:left="720" w:hanging="0"/>
      <w:contextualSpacing/>
    </w:pPr>
    <w:rPr/>
  </w:style>
  <w:style w:type="paragraph" w:styleId="Style23">
    <w:name w:val="Header"/>
    <w:basedOn w:val="Normal"/>
    <w:pPr>
      <w:suppressLineNumbers/>
      <w:tabs>
        <w:tab w:val="center" w:pos="4479" w:leader="none"/>
        <w:tab w:val="right" w:pos="8958" w:leader="none"/>
      </w:tabs>
    </w:pPr>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 Id="rId8" Type="http://schemas.openxmlformats.org/officeDocument/2006/relationships/customXml" Target="../customXml/item2.xml"/><Relationship Id="rId9" Type="http://schemas.openxmlformats.org/officeDocument/2006/relationships/customXml" Target="../customXml/item3.xml"/>
</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Έγγραφο" ma:contentTypeID="0x010100B68CC8610F677644B70EBB1473352A00" ma:contentTypeVersion="10" ma:contentTypeDescription="Δημιουργία νέου εγγράφου" ma:contentTypeScope="" ma:versionID="53a67865799dc51910994bf1430475ad">
  <xsd:schema xmlns:xsd="http://www.w3.org/2001/XMLSchema" xmlns:xs="http://www.w3.org/2001/XMLSchema" xmlns:p="http://schemas.microsoft.com/office/2006/metadata/properties" xmlns:ns3="dca7de85-786f-45ac-8e79-6cf1d6711657" targetNamespace="http://schemas.microsoft.com/office/2006/metadata/properties" ma:root="true" ma:fieldsID="1a7e4b3c906a590d8af5651eac65ed3d" ns3:_="">
    <xsd:import namespace="dca7de85-786f-45ac-8e79-6cf1d671165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a7de85-786f-45ac-8e79-6cf1d67116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Τύπος περιεχομένου"/>
        <xsd:element ref="dc:title" minOccurs="0" maxOccurs="1" ma:index="4" ma:displayName="Τίτλο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DC8DDB-9D6D-4660-BF78-2AE5B18F7100}">
  <ds:schemaRefs>
    <ds:schemaRef ds:uri="http://schemas.microsoft.com/sharepoint/v3/contenttype/forms"/>
  </ds:schemaRefs>
</ds:datastoreItem>
</file>

<file path=customXml/itemProps2.xml><?xml version="1.0" encoding="utf-8"?>
<ds:datastoreItem xmlns:ds="http://schemas.openxmlformats.org/officeDocument/2006/customXml" ds:itemID="{FD63FC8C-A14B-4C18-A330-9CF5E52B78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a7de85-786f-45ac-8e79-6cf1d67116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F37081-593F-451B-9A21-A6122115FFD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Application>LibreOffice/6.0.7.3$Linux_X86_64 LibreOffice_project/00m0$Build-3</Application>
  <Pages>3</Pages>
  <Words>1097</Words>
  <Characters>6906</Characters>
  <CharactersWithSpaces>7952</CharactersWithSpaces>
  <Paragraphs>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2020-04-28T13:54:00Z</dcterms:created>
  <dc:creator>Dionysis Gouvias</dc:creator>
  <dc:description/>
  <dc:language>el-GR</dc:language>
  <cp:lastModifiedBy>Dionysis Gouvias</cp:lastModifiedBy>
  <dcterms:modified xsi:type="dcterms:W3CDTF">2020-04-28T14:00:00Z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0x010100B68CC8610F677644B70EBB1473352A00</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