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5"/>
        <w:spacing w:lineRule="auto" w:line="240" w:before="0" w:after="0"/>
        <w:jc w:val="center"/>
        <w:rPr>
          <w:rFonts w:ascii="Times New Roman" w:hAnsi="Times New Roman"/>
          <w:sz w:val="22"/>
          <w:szCs w:val="22"/>
        </w:rPr>
      </w:pPr>
      <w:bookmarkStart w:id="0" w:name="__DdeLink__173_679559072"/>
      <w:r>
        <w:rPr>
          <w:rFonts w:ascii="Times New Roman" w:hAnsi="Times New Roman"/>
          <w:b/>
          <w:bCs/>
          <w:sz w:val="22"/>
          <w:szCs w:val="22"/>
        </w:rPr>
        <w:t xml:space="preserve">ΑΝΑΚΟΙΝΩΣΗ </w:t>
      </w:r>
      <w:r>
        <w:rPr>
          <w:rFonts w:ascii="Times New Roman" w:hAnsi="Times New Roman"/>
          <w:b/>
          <w:bCs/>
          <w:sz w:val="22"/>
          <w:szCs w:val="22"/>
        </w:rPr>
        <w:t>Κ.Σ.</w:t>
      </w:r>
      <w:r>
        <w:rPr>
          <w:rFonts w:ascii="Times New Roman" w:hAnsi="Times New Roman"/>
          <w:b/>
          <w:bCs/>
          <w:sz w:val="22"/>
          <w:szCs w:val="22"/>
        </w:rPr>
        <w:t xml:space="preserve"> ΣΥΛΛΟΓΟΥ ΔΕΠ ΠΑΝΕΠΙΣΤΗΜΙΟΥ ΑΙΓΑΙΟΥ</w:t>
      </w:r>
    </w:p>
    <w:p>
      <w:pPr>
        <w:pStyle w:val="Style15"/>
        <w:spacing w:lineRule="auto" w:line="240" w:before="0" w:after="0"/>
        <w:jc w:val="center"/>
        <w:rPr>
          <w:rStyle w:val="Style12"/>
          <w:rFonts w:ascii="Times New Roman" w:hAnsi="Times New Roman"/>
          <w:i/>
          <w:i/>
          <w:iCs/>
          <w:sz w:val="22"/>
          <w:szCs w:val="22"/>
        </w:rPr>
      </w:pPr>
      <w:r>
        <w:rPr>
          <w:rFonts w:ascii="Calibri" w:hAnsi="Calibri"/>
          <w:color w:val="000000" w:themeColor="text1"/>
        </w:rPr>
      </w:r>
    </w:p>
    <w:p>
      <w:pPr>
        <w:pStyle w:val="Style15"/>
        <w:spacing w:lineRule="auto" w:line="240" w:before="0" w:after="0"/>
        <w:jc w:val="center"/>
        <w:rPr>
          <w:rFonts w:ascii="Calibri" w:hAnsi="Calibri"/>
          <w:color w:val="000000" w:themeColor="text1"/>
        </w:rPr>
      </w:pPr>
      <w:r>
        <w:rPr>
          <w:rStyle w:val="Style12"/>
          <w:rFonts w:ascii="Times New Roman" w:hAnsi="Times New Roman"/>
          <w:i/>
          <w:iCs/>
          <w:color w:val="000000" w:themeColor="text1"/>
          <w:sz w:val="22"/>
          <w:szCs w:val="22"/>
        </w:rPr>
        <w:t xml:space="preserve">Σχετικά με την κατανομή των πιστώσεων για </w:t>
        <w:br/>
        <w:t>συμβασιούχους διδάσκοντες και διδάσκουσες με βάση το ΠΔ 407/80</w:t>
      </w:r>
    </w:p>
    <w:p>
      <w:pPr>
        <w:pStyle w:val="Style15"/>
        <w:spacing w:lineRule="auto" w:line="240" w:before="0" w:after="0"/>
        <w:jc w:val="both"/>
        <w:rPr>
          <w:rStyle w:val="Style12"/>
          <w:rFonts w:ascii="Times New Roman" w:hAnsi="Times New Roman"/>
          <w:sz w:val="22"/>
          <w:szCs w:val="22"/>
        </w:rPr>
      </w:pPr>
      <w:r>
        <w:rPr/>
      </w:r>
    </w:p>
    <w:p>
      <w:pPr>
        <w:pStyle w:val="Style15"/>
        <w:spacing w:lineRule="auto" w:line="240" w:before="0" w:after="0"/>
        <w:jc w:val="both"/>
        <w:rPr/>
      </w:pPr>
      <w:r>
        <w:rPr>
          <w:rStyle w:val="Style12"/>
          <w:rFonts w:ascii="Times New Roman" w:hAnsi="Times New Roman"/>
          <w:sz w:val="22"/>
          <w:szCs w:val="22"/>
        </w:rPr>
        <w:t>Σ</w:t>
      </w:r>
      <w:r>
        <w:rPr>
          <w:rStyle w:val="Style12"/>
          <w:rFonts w:ascii="Times New Roman" w:hAnsi="Times New Roman"/>
          <w:sz w:val="22"/>
          <w:szCs w:val="22"/>
        </w:rPr>
        <w:t>την προηγούμενη συνεδρίαση της Συγκλήτου έγινε η κατανομή στα Τμήματα των ελάχιστων πιστώσεων για συμβασιούχους διδάσκοντες</w:t>
      </w:r>
      <w:r>
        <w:rPr>
          <w:rStyle w:val="Style12"/>
          <w:rFonts w:ascii="Times New Roman" w:hAnsi="Times New Roman"/>
          <w:sz w:val="22"/>
          <w:szCs w:val="22"/>
        </w:rPr>
        <w:t xml:space="preserve"> και διδάσκουσες </w:t>
      </w:r>
      <w:r>
        <w:rPr>
          <w:rStyle w:val="Style12"/>
          <w:rFonts w:ascii="Times New Roman" w:hAnsi="Times New Roman"/>
          <w:sz w:val="22"/>
          <w:szCs w:val="22"/>
        </w:rPr>
        <w:t>με βάση το ΠΔ 407/80 (γύρω στις 11,5</w:t>
      </w:r>
      <w:r>
        <w:rPr>
          <w:rStyle w:val="Style12"/>
          <w:rFonts w:ascii="Times New Roman" w:hAnsi="Times New Roman"/>
          <w:sz w:val="22"/>
          <w:szCs w:val="22"/>
        </w:rPr>
        <w:t xml:space="preserve"> στη βαθμίδα του λέκτορα</w:t>
      </w:r>
      <w:r>
        <w:rPr>
          <w:rStyle w:val="Style12"/>
          <w:rFonts w:ascii="Times New Roman" w:hAnsi="Times New Roman"/>
          <w:sz w:val="22"/>
          <w:szCs w:val="22"/>
        </w:rPr>
        <w:t xml:space="preserve">) που έδωσε η κυβέρνηση για το τρέχον εαρινό εξάμηνο. Η Σύγκλητος κατένειμε στα Τμήματα 4μηνες συμβάσεις που ξεκινούν από τις 11 Φεβρουαρίου και τελειώνουν στις 14 Ιουνίου 2019. Στο προηγούμενο εξάμηνο, το χειμερινό, υπήρχαν συμβάσεις σε Τμήματα που με βάση τα στοιχεία που διαθέτουμε, ήταν δίμηνες: ξεκινούσαν από 1 ή 5 Νοεμβρίου και τελείωναν στις 31 Δεκεμβρίου. Όλες οι υπόλοιπες ήταν λίγο παραπάνω από τρίμηνες (αρχές Νοέμβρη μέχρι 10 Φεβρουαρίου). Με άλλα λόγια το προηγούμενο εξάμηνο, οι διδάσκοντες/ουσες με βάση το ΠΔ 407/80 είχαν συνάψει σύμβαση στην καλύτερη περίπτωση 3,5 μηνών, και στην χειρότερη λιγότερο των 2 μηνών. </w:t>
      </w:r>
    </w:p>
    <w:p>
      <w:pPr>
        <w:pStyle w:val="Style15"/>
        <w:spacing w:lineRule="auto" w:line="240" w:before="0" w:after="0"/>
        <w:jc w:val="both"/>
        <w:rPr>
          <w:rStyle w:val="Style12"/>
          <w:rFonts w:ascii="Times New Roman" w:hAnsi="Times New Roman"/>
          <w:sz w:val="22"/>
          <w:szCs w:val="22"/>
        </w:rPr>
      </w:pPr>
      <w:r>
        <w:rPr>
          <w:rFonts w:ascii="Calibri" w:hAnsi="Calibri"/>
        </w:rPr>
      </w:r>
    </w:p>
    <w:p>
      <w:pPr>
        <w:pStyle w:val="Style15"/>
        <w:spacing w:lineRule="auto" w:line="240" w:before="0" w:after="0"/>
        <w:jc w:val="both"/>
        <w:rPr/>
      </w:pPr>
      <w:r>
        <w:rPr>
          <w:rStyle w:val="Style12"/>
          <w:rFonts w:ascii="Times New Roman" w:hAnsi="Times New Roman"/>
          <w:sz w:val="22"/>
          <w:szCs w:val="22"/>
        </w:rPr>
        <w:t xml:space="preserve">Καταρχάς, χρειάζεται να σημειώσουμε ότι η </w:t>
      </w:r>
      <w:r>
        <w:rPr>
          <w:rStyle w:val="Style12"/>
          <w:rFonts w:ascii="Times New Roman" w:hAnsi="Times New Roman"/>
          <w:color w:val="000000"/>
          <w:sz w:val="22"/>
          <w:szCs w:val="22"/>
        </w:rPr>
        <w:t>σύ</w:t>
      </w:r>
      <w:r>
        <w:rPr>
          <w:rStyle w:val="Style12"/>
          <w:rFonts w:ascii="Times New Roman" w:hAnsi="Times New Roman"/>
          <w:sz w:val="22"/>
          <w:szCs w:val="22"/>
        </w:rPr>
        <w:t>ναψη συμβάσεων διάρκειας 2 μηνών (δηλαδή 9 εβδομάδων) ή και 3,5 μηνών ολοφάνερα αποτελεί μια εκτός δεοντολογικής και ακαδημαϊκής ηθικής πρακτική που οδηγεί σε πλήρη εκπαιδευτική και ακαδημαϊκή υποβάθμιση των σπουδών και θίγει την εργασιακή αξιοπρέπεια των διδασκόντων</w:t>
      </w:r>
      <w:r>
        <w:rPr>
          <w:rStyle w:val="Style12"/>
          <w:rFonts w:ascii="Times New Roman" w:hAnsi="Times New Roman"/>
          <w:sz w:val="22"/>
          <w:szCs w:val="22"/>
        </w:rPr>
        <w:t xml:space="preserve"> και διδασκουσών</w:t>
      </w:r>
      <w:r>
        <w:rPr>
          <w:rStyle w:val="Style12"/>
          <w:rFonts w:ascii="Times New Roman" w:hAnsi="Times New Roman"/>
          <w:sz w:val="22"/>
          <w:szCs w:val="22"/>
        </w:rPr>
        <w:t>. Δημιουργούνται και πραγματικές ανωμαλίες καθώς προκύπτει η ανάγκη κάποιος άλλος διδάσκων ή κάποια άλλη διδάσκουσα να κάνει μάθημα τις υπόλοιπες εβδομάδες (το κάθε μάθημα διδάσκεται 13 εβδομάδες), όπως και κάποιος άλλος συνάδελφος</w:t>
      </w:r>
      <w:r>
        <w:rPr>
          <w:rStyle w:val="Style12"/>
          <w:rFonts w:ascii="Times New Roman" w:hAnsi="Times New Roman"/>
          <w:sz w:val="22"/>
          <w:szCs w:val="22"/>
        </w:rPr>
        <w:t xml:space="preserve"> ή κάποια άλλη συναδέλφισσα</w:t>
      </w:r>
      <w:r>
        <w:rPr>
          <w:rStyle w:val="Style12"/>
          <w:rFonts w:ascii="Times New Roman" w:hAnsi="Times New Roman"/>
          <w:sz w:val="22"/>
          <w:szCs w:val="22"/>
        </w:rPr>
        <w:t xml:space="preserve"> </w:t>
      </w:r>
      <w:r>
        <w:rPr>
          <w:rStyle w:val="Style12"/>
          <w:rFonts w:ascii="Times New Roman" w:hAnsi="Times New Roman"/>
          <w:sz w:val="22"/>
          <w:szCs w:val="22"/>
        </w:rPr>
        <w:t>ν</w:t>
      </w:r>
      <w:r>
        <w:rPr>
          <w:rStyle w:val="Style12"/>
          <w:rFonts w:ascii="Times New Roman" w:hAnsi="Times New Roman"/>
          <w:sz w:val="22"/>
          <w:szCs w:val="22"/>
        </w:rPr>
        <w:t xml:space="preserve">α βάζει θέματα και </w:t>
      </w:r>
      <w:r>
        <w:rPr>
          <w:rStyle w:val="Style12"/>
          <w:rFonts w:ascii="Times New Roman" w:hAnsi="Times New Roman"/>
          <w:sz w:val="22"/>
          <w:szCs w:val="22"/>
        </w:rPr>
        <w:t>ν</w:t>
      </w:r>
      <w:r>
        <w:rPr>
          <w:rStyle w:val="Style12"/>
          <w:rFonts w:ascii="Times New Roman" w:hAnsi="Times New Roman"/>
          <w:sz w:val="22"/>
          <w:szCs w:val="22"/>
        </w:rPr>
        <w:t>α διορθώνει στις εξετάσεις. Στη χειρότερη περίπτωση κάποιοι αναλαμβάνουν διδακτικό έργο που αντιστοιχεί σε πλήρη σύμβαση 6 μηνών, συνάπτοντας όμως κουτσουρεμένη σύμβαση 3,5 ή 2 μηνών, ίσως και λιγότερο ακόμη. Υπάρχει και η περίπτωση οι συνάδελφοι/ισσες συμβασιούχοι να συνάπτουν πολλές διαφορετικές συμβάσεις ώστε να μπορέσουν τυπικά να ανταπεξέλθουν στις εκπαιδευτικές υποχρεώσεις τους.</w:t>
      </w:r>
    </w:p>
    <w:p>
      <w:pPr>
        <w:pStyle w:val="Style15"/>
        <w:spacing w:lineRule="auto" w:line="240" w:before="0" w:after="0"/>
        <w:jc w:val="both"/>
        <w:rPr>
          <w:rStyle w:val="Style12"/>
          <w:rFonts w:ascii="Times New Roman" w:hAnsi="Times New Roman"/>
          <w:sz w:val="22"/>
          <w:szCs w:val="22"/>
        </w:rPr>
      </w:pPr>
      <w:r>
        <w:rPr>
          <w:rFonts w:ascii="Calibri" w:hAnsi="Calibri"/>
        </w:rPr>
      </w:r>
    </w:p>
    <w:p>
      <w:pPr>
        <w:pStyle w:val="Style15"/>
        <w:spacing w:lineRule="auto" w:line="240" w:before="0" w:after="0"/>
        <w:jc w:val="both"/>
        <w:rPr/>
      </w:pPr>
      <w:r>
        <w:rPr>
          <w:rStyle w:val="Style12"/>
          <w:rFonts w:ascii="Times New Roman" w:hAnsi="Times New Roman"/>
          <w:sz w:val="22"/>
          <w:szCs w:val="22"/>
        </w:rPr>
        <w:t>Ο Σύλλογός μας θεωρεί αυτονόητο και θα διεκδικήσει ο κάθε συνάδελφος</w:t>
      </w:r>
      <w:r>
        <w:rPr>
          <w:rStyle w:val="Style12"/>
          <w:rFonts w:ascii="Times New Roman" w:hAnsi="Times New Roman"/>
          <w:sz w:val="22"/>
          <w:szCs w:val="22"/>
        </w:rPr>
        <w:t xml:space="preserve"> και η κάθε συναδέλφι</w:t>
      </w:r>
      <w:r>
        <w:rPr>
          <w:rStyle w:val="Style12"/>
          <w:rFonts w:ascii="Times New Roman" w:hAnsi="Times New Roman"/>
          <w:sz w:val="22"/>
          <w:szCs w:val="22"/>
        </w:rPr>
        <w:t>σσα που αναλαμβάνει ως συμβασιούχος με βάση το ΠΔ 407/80 να έχει πλήρη σύμβαση ενός εξαμήνου και κατά συνέπεια τις πλήρεις απολαβές ενός εξαμήνου</w:t>
      </w:r>
      <w:r>
        <w:rPr>
          <w:rStyle w:val="Style12"/>
          <w:rFonts w:ascii="Times New Roman" w:hAnsi="Times New Roman"/>
          <w:sz w:val="22"/>
          <w:szCs w:val="22"/>
        </w:rPr>
        <w:t>, να αναλαμβάνει χωρίς καθυστέρηση ενός μήνα και να πληρώνεται στην ώρα του</w:t>
      </w:r>
      <w:r>
        <w:rPr>
          <w:rStyle w:val="Style12"/>
          <w:rFonts w:ascii="Times New Roman" w:hAnsi="Times New Roman"/>
          <w:sz w:val="22"/>
          <w:szCs w:val="22"/>
        </w:rPr>
        <w:t>. Οι συμβασιούχοι διδάσκοντες/ουσες έχουν εκπαιδευτικές υποχρεώσεις που αφορούν στη διδασκαλία 13 εβδομάδων καθώς και εξετάσεις των αντίστοιχων μαθημάτων, όπως επίσης ακαδημαϊκές υποχρεώσεις που δεν μετριούνται με την εβδομάδα</w:t>
      </w:r>
      <w:r>
        <w:rPr>
          <w:rStyle w:val="Style12"/>
          <w:rFonts w:ascii="Times New Roman" w:hAnsi="Times New Roman"/>
          <w:sz w:val="22"/>
          <w:szCs w:val="22"/>
        </w:rPr>
        <w:t xml:space="preserve"> ή τον μήνα</w:t>
      </w:r>
      <w:r>
        <w:rPr>
          <w:rStyle w:val="Style12"/>
          <w:rFonts w:ascii="Times New Roman" w:hAnsi="Times New Roman"/>
          <w:sz w:val="22"/>
          <w:szCs w:val="22"/>
        </w:rPr>
        <w:t xml:space="preserve">. </w:t>
      </w:r>
    </w:p>
    <w:p>
      <w:pPr>
        <w:pStyle w:val="Normal"/>
        <w:jc w:val="both"/>
        <w:rPr>
          <w:rStyle w:val="Style12"/>
          <w:rFonts w:ascii="Times New Roman" w:hAnsi="Times New Roman"/>
          <w:sz w:val="22"/>
          <w:szCs w:val="22"/>
        </w:rPr>
      </w:pPr>
      <w:r>
        <w:rPr>
          <w:rFonts w:eastAsia="Times New Roman" w:cs="Times New Roman" w:ascii="Calibri" w:hAnsi="Calibri"/>
          <w:color w:val="000000"/>
        </w:rPr>
      </w:r>
    </w:p>
    <w:p>
      <w:pPr>
        <w:pStyle w:val="Normal"/>
        <w:jc w:val="both"/>
        <w:rPr/>
      </w:pPr>
      <w:r>
        <w:rPr>
          <w:rStyle w:val="Style12"/>
          <w:rFonts w:eastAsia="Times New Roman" w:cs="Times New Roman" w:ascii="Times New Roman" w:hAnsi="Times New Roman"/>
          <w:color w:val="000000"/>
          <w:sz w:val="22"/>
          <w:szCs w:val="22"/>
        </w:rPr>
        <w:t xml:space="preserve">Φαντάζει βέβαια ως πολυτέλεια η σύναψη σύμβασης εργασίας ενός εξαμήνου με βάση το ΠΔ407/80, τη στιγμή που έχουν εισαχθεί και κυριαρχούν στα πανεπιστήμια οι συμβάσεις έργου από τα επιχειρησιακά προγράμματα της Ε.Ε., τα λεγόμενα προγράμματα «Απόκτησης Ακαδημαϊκής Διδακτικής Εμπειρίας σε Νέους Επιστήμονες Κατόχους Διδακτορικού», όπως επίσης οι συμβάσεις έργου των πανεπιστημιακών υποτρόφων. </w:t>
      </w:r>
    </w:p>
    <w:p>
      <w:pPr>
        <w:pStyle w:val="Normal"/>
        <w:jc w:val="both"/>
        <w:rPr>
          <w:rStyle w:val="Style12"/>
          <w:rFonts w:ascii="Times New Roman" w:hAnsi="Times New Roman"/>
          <w:sz w:val="22"/>
          <w:szCs w:val="22"/>
        </w:rPr>
      </w:pPr>
      <w:r>
        <w:rPr>
          <w:rFonts w:eastAsia="Times New Roman" w:cs="Times New Roman" w:ascii="Calibri" w:hAnsi="Calibri"/>
          <w:color w:val="000000"/>
        </w:rPr>
      </w:r>
    </w:p>
    <w:p>
      <w:pPr>
        <w:pStyle w:val="Normal"/>
        <w:jc w:val="both"/>
        <w:rPr/>
      </w:pPr>
      <w:r>
        <w:rPr>
          <w:rStyle w:val="Style12"/>
          <w:rFonts w:eastAsia="Times New Roman" w:cs="Times New Roman" w:ascii="Times New Roman" w:hAnsi="Times New Roman"/>
          <w:color w:val="000000"/>
          <w:sz w:val="22"/>
          <w:szCs w:val="22"/>
        </w:rPr>
        <w:t>Στεκόμαστε μακριά από μια λογική σύμφωνα με την οποία η λύση στο πρόβλημα της έλλειψης των απαραίτητων πόρων για την κάλυψη των διδακτικών αναγκών, θα είναι η παραπέρα ελαστικοποίηση των ευέλικτων και επισφαλών σχέσεων εργασίας των συναδέλφων διδασκόντων</w:t>
      </w:r>
      <w:r>
        <w:rPr>
          <w:rStyle w:val="Style12"/>
          <w:rFonts w:eastAsia="Times New Roman" w:cs="Times New Roman" w:ascii="Times New Roman" w:hAnsi="Times New Roman"/>
          <w:color w:val="000000"/>
          <w:sz w:val="22"/>
          <w:szCs w:val="22"/>
        </w:rPr>
        <w:t xml:space="preserve"> και διδασκ</w:t>
      </w:r>
      <w:r>
        <w:rPr>
          <w:rStyle w:val="Style12"/>
          <w:rFonts w:eastAsia="Times New Roman" w:cs="Times New Roman" w:ascii="Times New Roman" w:hAnsi="Times New Roman"/>
          <w:color w:val="000000"/>
          <w:sz w:val="22"/>
          <w:szCs w:val="22"/>
        </w:rPr>
        <w:t>ουσών. Είναι φανερό ότι δημιουργείται μια απαράδεκτη κατάσταση που θέτει, εκτός των άλλων, ζητήματα ακαδημαϊκής αξιοπρέπειας και συναδελφικής αλληλεγγύης. Οι συμβασιούχοι διδάσκοντες δεν είναι εργαζόμενοι δεύτερης κατηγορίας, στους οποίους θα γίνονται συμβάσεις 4, 3,5 ή και 2 μηνών.</w:t>
      </w:r>
    </w:p>
    <w:p>
      <w:pPr>
        <w:pStyle w:val="Normal"/>
        <w:jc w:val="both"/>
        <w:rPr>
          <w:rStyle w:val="Style12"/>
          <w:rFonts w:ascii="Times New Roman" w:hAnsi="Times New Roman"/>
          <w:sz w:val="22"/>
          <w:szCs w:val="22"/>
        </w:rPr>
      </w:pPr>
      <w:r>
        <w:rPr>
          <w:color w:val="000000"/>
        </w:rPr>
      </w:r>
    </w:p>
    <w:p>
      <w:pPr>
        <w:pStyle w:val="Style15"/>
        <w:spacing w:lineRule="auto" w:line="240" w:before="0" w:after="0"/>
        <w:jc w:val="both"/>
        <w:rPr/>
      </w:pPr>
      <w:r>
        <w:rPr>
          <w:rStyle w:val="Style12"/>
          <w:rFonts w:eastAsia="Times New Roman" w:cs="Times New Roman" w:ascii="Times New Roman" w:hAnsi="Times New Roman"/>
          <w:color w:val="000000"/>
          <w:sz w:val="22"/>
          <w:szCs w:val="22"/>
        </w:rPr>
        <w:t>Το ΚΣ Συλλόγου ΔΕΠ Πανεπιστημίου Αιγαίου θεωρεί ότι τα μέλη της Συγκλήτου αλλά και  τα μέλη ΔΕΠ των Γενικών Συνελεύσεων των Τμημάτων δεν πρέπει να αποδέχονται και να υλοποιούν τέτοιες πρακτικές. Οι συμβασιούχοι με βάση το ΠΔ 407/80 είναι διδάσκοντες</w:t>
      </w:r>
      <w:r>
        <w:rPr>
          <w:rStyle w:val="Style12"/>
          <w:rFonts w:eastAsia="Times New Roman" w:cs="Times New Roman" w:ascii="Times New Roman" w:hAnsi="Times New Roman"/>
          <w:color w:val="000000"/>
          <w:sz w:val="22"/>
          <w:szCs w:val="22"/>
        </w:rPr>
        <w:t xml:space="preserve"> και διδάσκ</w:t>
      </w:r>
      <w:r>
        <w:rPr>
          <w:rStyle w:val="Style12"/>
          <w:rFonts w:eastAsia="Times New Roman" w:cs="Times New Roman" w:ascii="Times New Roman" w:hAnsi="Times New Roman"/>
          <w:color w:val="000000"/>
          <w:sz w:val="22"/>
          <w:szCs w:val="22"/>
        </w:rPr>
        <w:t>ουσες</w:t>
      </w:r>
      <w:bookmarkStart w:id="1" w:name="_GoBack"/>
      <w:bookmarkEnd w:id="1"/>
      <w:r>
        <w:rPr>
          <w:rStyle w:val="Style12"/>
          <w:rFonts w:eastAsia="Times New Roman" w:cs="Times New Roman" w:ascii="Times New Roman" w:hAnsi="Times New Roman"/>
          <w:color w:val="000000"/>
          <w:sz w:val="22"/>
          <w:szCs w:val="22"/>
        </w:rPr>
        <w:t xml:space="preserve"> που έχουν πλήρες διδακτικό ωράριο και πρέπει να έχουν τις αντίστοιχες πλήρεις συμβάσεις. </w:t>
      </w:r>
    </w:p>
    <w:p>
      <w:pPr>
        <w:pStyle w:val="Style15"/>
        <w:spacing w:lineRule="auto" w:line="240" w:before="0" w:after="0"/>
        <w:jc w:val="both"/>
        <w:rPr>
          <w:rStyle w:val="Style12"/>
          <w:rFonts w:ascii="Times New Roman" w:hAnsi="Times New Roman"/>
          <w:sz w:val="22"/>
          <w:szCs w:val="22"/>
        </w:rPr>
      </w:pPr>
      <w:r>
        <w:rPr>
          <w:rFonts w:ascii="Calibri" w:hAnsi="Calibri"/>
          <w:color w:val="000000"/>
        </w:rPr>
      </w:r>
    </w:p>
    <w:p>
      <w:pPr>
        <w:pStyle w:val="Style15"/>
        <w:spacing w:lineRule="auto" w:line="240" w:before="0" w:after="0"/>
        <w:jc w:val="right"/>
        <w:rPr/>
      </w:pPr>
      <w:bookmarkStart w:id="2" w:name="__DdeLink__173_679559072"/>
      <w:r>
        <w:rPr>
          <w:rStyle w:val="Style12"/>
          <w:rFonts w:ascii="Times New Roman" w:hAnsi="Times New Roman"/>
          <w:i/>
          <w:iCs/>
          <w:color w:val="333333"/>
          <w:sz w:val="22"/>
          <w:szCs w:val="22"/>
        </w:rPr>
        <w:t>18 Φεβρουαρίου 2019</w:t>
      </w:r>
      <w:bookmarkEnd w:id="2"/>
    </w:p>
    <w:sectPr>
      <w:type w:val="nextPage"/>
      <w:pgSz w:w="11906" w:h="16838"/>
      <w:pgMar w:left="1701" w:right="1701" w:header="0" w:top="850" w:footer="0" w:bottom="85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swiss"/>
    <w:pitch w:val="default"/>
  </w:font>
  <w:font w:name="Tahoma">
    <w:charset w:val="01"/>
    <w:family w:val="swiss"/>
    <w:pitch w:val="default"/>
  </w:font>
  <w:font w:name="OpenSymbol">
    <w:altName w:val="Arial Unicode MS"/>
    <w:charset w:val="01"/>
    <w:family w:val="swiss"/>
    <w:pitch w:val="default"/>
  </w:font>
  <w:font w:name="Liberation Mono">
    <w:altName w:val="Courier New"/>
    <w:charset w:val="01"/>
    <w:family w:val="swiss"/>
    <w:pitch w:val="default"/>
  </w:font>
  <w:font w:name="Liberation Sans">
    <w:altName w:val="Arial"/>
    <w:charset w:val="01"/>
    <w:family w:val="swiss"/>
    <w:pitch w:val="default"/>
  </w:font>
  <w:font w:name="Trebuchet MS">
    <w:charset w:val="01"/>
    <w:family w:val="swiss"/>
    <w:pitch w:val="default"/>
  </w:font>
  <w:font w:name="Comic Sans MS">
    <w:charset w:val="01"/>
    <w:family w:val="swiss"/>
    <w:pitch w:val="default"/>
  </w:font>
  <w:font w:name="Times New Roman">
    <w:charset w:val="01"/>
    <w:family w:val="roman"/>
    <w:pitch w:val="variable"/>
  </w:font>
  <w:font w:name="Calibri">
    <w:charset w:val="01"/>
    <w:family w:val="swiss"/>
    <w:pitch w:val="default"/>
  </w:font>
</w:fonts>
</file>

<file path=word/settings.xml><?xml version="1.0" encoding="utf-8"?>
<w:settings xmlns:w="http://schemas.openxmlformats.org/wordprocessingml/2006/main">
  <w:zoom w:percent="196"/>
  <w:embedSystemFonts/>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Batang" w:cs="Times New Roman"/>
        <w:szCs w:val="22"/>
        <w:lang w:val="el-GR" w:eastAsia="el-GR" w:bidi="ar-SA"/>
      </w:rPr>
    </w:rPrDefault>
    <w:pPrDefault>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54f2b"/>
    <w:pPr>
      <w:widowControl/>
      <w:suppressAutoHyphens w:val="true"/>
      <w:bidi w:val="0"/>
      <w:jc w:val="left"/>
    </w:pPr>
    <w:rPr>
      <w:rFonts w:ascii="Times New Roman" w:hAnsi="Times New Roman" w:eastAsia="Batang" w:cs="Times New Roman"/>
      <w:color w:val="00000A"/>
      <w:kern w:val="0"/>
      <w:sz w:val="24"/>
      <w:szCs w:val="24"/>
      <w:lang w:eastAsia="ko-KR" w:val="el-GR" w:bidi="ar-SA"/>
    </w:rPr>
  </w:style>
  <w:style w:type="paragraph" w:styleId="1">
    <w:name w:val="Heading 1"/>
    <w:basedOn w:val="Style14"/>
    <w:qFormat/>
    <w:pPr>
      <w:outlineLvl w:val="0"/>
    </w:pPr>
    <w:rPr/>
  </w:style>
  <w:style w:type="paragraph" w:styleId="2">
    <w:name w:val="Heading 2"/>
    <w:basedOn w:val="Style14"/>
    <w:qFormat/>
    <w:pPr>
      <w:outlineLvl w:val="1"/>
    </w:pPr>
    <w:rPr/>
  </w:style>
  <w:style w:type="paragraph" w:styleId="3">
    <w:name w:val="Heading 3"/>
    <w:basedOn w:val="Style14"/>
    <w:qFormat/>
    <w:pPr>
      <w:outlineLvl w:val="2"/>
    </w:pPr>
    <w:rPr/>
  </w:style>
  <w:style w:type="character" w:styleId="DefaultParagraphFont" w:default="1">
    <w:name w:val="Default Paragraph Font"/>
    <w:uiPriority w:val="1"/>
    <w:semiHidden/>
    <w:unhideWhenUsed/>
    <w:qFormat/>
    <w:rPr/>
  </w:style>
  <w:style w:type="character" w:styleId="Char" w:customStyle="1">
    <w:name w:val="Κείμενο πλαισίου Char"/>
    <w:basedOn w:val="DefaultParagraphFont"/>
    <w:link w:val="a4"/>
    <w:uiPriority w:val="99"/>
    <w:qFormat/>
    <w:locked/>
    <w:rsid w:val="00cb7f13"/>
    <w:rPr>
      <w:rFonts w:ascii="Tahoma" w:hAnsi="Tahoma" w:cs="Tahoma"/>
      <w:sz w:val="16"/>
      <w:szCs w:val="16"/>
      <w:lang w:eastAsia="ko-KR"/>
    </w:rPr>
  </w:style>
  <w:style w:type="character" w:styleId="Annotationreference">
    <w:name w:val="annotation reference"/>
    <w:basedOn w:val="DefaultParagraphFont"/>
    <w:uiPriority w:val="99"/>
    <w:semiHidden/>
    <w:unhideWhenUsed/>
    <w:qFormat/>
    <w:rsid w:val="00b62fcf"/>
    <w:rPr>
      <w:sz w:val="16"/>
      <w:szCs w:val="16"/>
    </w:rPr>
  </w:style>
  <w:style w:type="character" w:styleId="Char1" w:customStyle="1">
    <w:name w:val="Θέμα σχολίου Char1"/>
    <w:basedOn w:val="DefaultParagraphFont"/>
    <w:link w:val="a6"/>
    <w:uiPriority w:val="99"/>
    <w:semiHidden/>
    <w:qFormat/>
    <w:rsid w:val="00b62fcf"/>
    <w:rPr>
      <w:sz w:val="20"/>
      <w:szCs w:val="20"/>
      <w:lang w:eastAsia="ko-KR"/>
    </w:rPr>
  </w:style>
  <w:style w:type="character" w:styleId="Char2" w:customStyle="1">
    <w:name w:val="Θέμα σχολίου Char"/>
    <w:basedOn w:val="Char1"/>
    <w:uiPriority w:val="99"/>
    <w:semiHidden/>
    <w:qFormat/>
    <w:rsid w:val="00b62fcf"/>
    <w:rPr>
      <w:b/>
      <w:bCs/>
      <w:sz w:val="20"/>
      <w:szCs w:val="20"/>
      <w:lang w:eastAsia="ko-KR"/>
    </w:rPr>
  </w:style>
  <w:style w:type="character" w:styleId="ListLabel1" w:customStyle="1">
    <w:name w:val="ListLabel 1"/>
    <w:qFormat/>
    <w:rPr>
      <w:rFonts w:eastAsia="Batang"/>
    </w:rPr>
  </w:style>
  <w:style w:type="character" w:styleId="ListLabel2" w:customStyle="1">
    <w:name w:val="ListLabel 2"/>
    <w:qFormat/>
    <w:rPr>
      <w:rFonts w:cs="Comic Sans MS"/>
    </w:rPr>
  </w:style>
  <w:style w:type="character" w:styleId="ListLabel3" w:customStyle="1">
    <w:name w:val="ListLabel 3"/>
    <w:qFormat/>
    <w:rPr>
      <w:rFonts w:cs="Courier New"/>
    </w:rPr>
  </w:style>
  <w:style w:type="character" w:styleId="ListLabel4" w:customStyle="1">
    <w:name w:val="ListLabel 4"/>
    <w:qFormat/>
    <w:rPr>
      <w:rFonts w:cs="Wingdings"/>
    </w:rPr>
  </w:style>
  <w:style w:type="character" w:styleId="ListLabel5" w:customStyle="1">
    <w:name w:val="ListLabel 5"/>
    <w:qFormat/>
    <w:rPr>
      <w:rFonts w:cs="Symbol"/>
    </w:rPr>
  </w:style>
  <w:style w:type="character" w:styleId="Bullets" w:customStyle="1">
    <w:name w:val="Bullets"/>
    <w:qFormat/>
    <w:rPr>
      <w:rFonts w:ascii="OpenSymbol" w:hAnsi="OpenSymbol" w:eastAsia="OpenSymbol" w:cs="OpenSymbol"/>
    </w:rPr>
  </w:style>
  <w:style w:type="character" w:styleId="ListLabel6" w:customStyle="1">
    <w:name w:val="ListLabel 6"/>
    <w:qFormat/>
    <w:rPr>
      <w:rFonts w:cs="Comic Sans MS"/>
    </w:rPr>
  </w:style>
  <w:style w:type="character" w:styleId="ListLabel7" w:customStyle="1">
    <w:name w:val="ListLabel 7"/>
    <w:qFormat/>
    <w:rPr>
      <w:rFonts w:cs="Courier New"/>
    </w:rPr>
  </w:style>
  <w:style w:type="character" w:styleId="ListLabel8" w:customStyle="1">
    <w:name w:val="ListLabel 8"/>
    <w:qFormat/>
    <w:rPr>
      <w:rFonts w:cs="Wingdings"/>
    </w:rPr>
  </w:style>
  <w:style w:type="character" w:styleId="ListLabel9" w:customStyle="1">
    <w:name w:val="ListLabel 9"/>
    <w:qFormat/>
    <w:rPr>
      <w:rFonts w:cs="Symbol"/>
    </w:rPr>
  </w:style>
  <w:style w:type="character" w:styleId="ListLabel10" w:customStyle="1">
    <w:name w:val="ListLabel 10"/>
    <w:qFormat/>
    <w:rPr>
      <w:rFonts w:cs="Comic Sans MS"/>
    </w:rPr>
  </w:style>
  <w:style w:type="character" w:styleId="ListLabel11" w:customStyle="1">
    <w:name w:val="ListLabel 11"/>
    <w:qFormat/>
    <w:rPr>
      <w:rFonts w:cs="Courier New"/>
    </w:rPr>
  </w:style>
  <w:style w:type="character" w:styleId="ListLabel12" w:customStyle="1">
    <w:name w:val="ListLabel 12"/>
    <w:qFormat/>
    <w:rPr>
      <w:rFonts w:cs="Wingdings"/>
    </w:rPr>
  </w:style>
  <w:style w:type="character" w:styleId="ListLabel13" w:customStyle="1">
    <w:name w:val="ListLabel 13"/>
    <w:qFormat/>
    <w:rPr>
      <w:rFonts w:cs="Symbol"/>
    </w:rPr>
  </w:style>
  <w:style w:type="character" w:styleId="ListLabel14" w:customStyle="1">
    <w:name w:val="ListLabel 14"/>
    <w:qFormat/>
    <w:rPr>
      <w:rFonts w:cs="Comic Sans MS"/>
    </w:rPr>
  </w:style>
  <w:style w:type="character" w:styleId="ListLabel15" w:customStyle="1">
    <w:name w:val="ListLabel 15"/>
    <w:qFormat/>
    <w:rPr>
      <w:rFonts w:cs="Courier New"/>
    </w:rPr>
  </w:style>
  <w:style w:type="character" w:styleId="ListLabel16" w:customStyle="1">
    <w:name w:val="ListLabel 16"/>
    <w:qFormat/>
    <w:rPr>
      <w:rFonts w:cs="Wingdings"/>
    </w:rPr>
  </w:style>
  <w:style w:type="character" w:styleId="ListLabel17" w:customStyle="1">
    <w:name w:val="ListLabel 17"/>
    <w:qFormat/>
    <w:rPr>
      <w:rFonts w:cs="Symbol"/>
    </w:rPr>
  </w:style>
  <w:style w:type="character" w:styleId="ListLabel18" w:customStyle="1">
    <w:name w:val="ListLabel 18"/>
    <w:qFormat/>
    <w:rPr>
      <w:rFonts w:cs="Comic Sans MS"/>
    </w:rPr>
  </w:style>
  <w:style w:type="character" w:styleId="ListLabel19" w:customStyle="1">
    <w:name w:val="ListLabel 19"/>
    <w:qFormat/>
    <w:rPr>
      <w:rFonts w:cs="Courier New"/>
    </w:rPr>
  </w:style>
  <w:style w:type="character" w:styleId="ListLabel20" w:customStyle="1">
    <w:name w:val="ListLabel 20"/>
    <w:qFormat/>
    <w:rPr>
      <w:rFonts w:cs="Wingdings"/>
    </w:rPr>
  </w:style>
  <w:style w:type="character" w:styleId="ListLabel21" w:customStyle="1">
    <w:name w:val="ListLabel 21"/>
    <w:qFormat/>
    <w:rPr>
      <w:rFonts w:cs="Symbol"/>
    </w:rPr>
  </w:style>
  <w:style w:type="character" w:styleId="Style11">
    <w:name w:val="Έμφαση"/>
    <w:basedOn w:val="DefaultParagraphFont"/>
    <w:qFormat/>
    <w:rPr>
      <w:i/>
      <w:iCs/>
    </w:rPr>
  </w:style>
  <w:style w:type="character" w:styleId="ListLabel22" w:customStyle="1">
    <w:name w:val="ListLabel 22"/>
    <w:qFormat/>
    <w:rPr>
      <w:rFonts w:cs="Comic Sans MS"/>
    </w:rPr>
  </w:style>
  <w:style w:type="character" w:styleId="ListLabel23" w:customStyle="1">
    <w:name w:val="ListLabel 23"/>
    <w:qFormat/>
    <w:rPr>
      <w:rFonts w:cs="Courier New"/>
    </w:rPr>
  </w:style>
  <w:style w:type="character" w:styleId="ListLabel24" w:customStyle="1">
    <w:name w:val="ListLabel 24"/>
    <w:qFormat/>
    <w:rPr>
      <w:rFonts w:cs="Wingdings"/>
    </w:rPr>
  </w:style>
  <w:style w:type="character" w:styleId="ListLabel25" w:customStyle="1">
    <w:name w:val="ListLabel 25"/>
    <w:qFormat/>
    <w:rPr>
      <w:rFonts w:cs="Symbol"/>
    </w:rPr>
  </w:style>
  <w:style w:type="character" w:styleId="ListLabel26" w:customStyle="1">
    <w:name w:val="ListLabel 26"/>
    <w:qFormat/>
    <w:rPr>
      <w:rFonts w:cs="Comic Sans MS"/>
    </w:rPr>
  </w:style>
  <w:style w:type="character" w:styleId="ListLabel27" w:customStyle="1">
    <w:name w:val="ListLabel 27"/>
    <w:qFormat/>
    <w:rPr>
      <w:rFonts w:cs="Courier New"/>
    </w:rPr>
  </w:style>
  <w:style w:type="character" w:styleId="ListLabel28" w:customStyle="1">
    <w:name w:val="ListLabel 28"/>
    <w:qFormat/>
    <w:rPr>
      <w:rFonts w:cs="Wingdings"/>
    </w:rPr>
  </w:style>
  <w:style w:type="character" w:styleId="ListLabel29" w:customStyle="1">
    <w:name w:val="ListLabel 29"/>
    <w:qFormat/>
    <w:rPr>
      <w:rFonts w:cs="Symbol"/>
    </w:rPr>
  </w:style>
  <w:style w:type="character" w:styleId="ListLabel30" w:customStyle="1">
    <w:name w:val="ListLabel 30"/>
    <w:qFormat/>
    <w:rPr>
      <w:rFonts w:cs="Comic Sans MS"/>
      <w:sz w:val="22"/>
    </w:rPr>
  </w:style>
  <w:style w:type="character" w:styleId="ListLabel31" w:customStyle="1">
    <w:name w:val="ListLabel 31"/>
    <w:qFormat/>
    <w:rPr>
      <w:rFonts w:cs="Courier New"/>
    </w:rPr>
  </w:style>
  <w:style w:type="character" w:styleId="ListLabel32" w:customStyle="1">
    <w:name w:val="ListLabel 32"/>
    <w:qFormat/>
    <w:rPr>
      <w:rFonts w:cs="Wingdings"/>
    </w:rPr>
  </w:style>
  <w:style w:type="character" w:styleId="ListLabel33" w:customStyle="1">
    <w:name w:val="ListLabel 33"/>
    <w:qFormat/>
    <w:rPr>
      <w:rFonts w:cs="Symbol"/>
    </w:rPr>
  </w:style>
  <w:style w:type="character" w:styleId="ListLabel34" w:customStyle="1">
    <w:name w:val="ListLabel 34"/>
    <w:qFormat/>
    <w:rPr>
      <w:rFonts w:cs="Courier New"/>
    </w:rPr>
  </w:style>
  <w:style w:type="character" w:styleId="ListLabel35" w:customStyle="1">
    <w:name w:val="ListLabel 35"/>
    <w:qFormat/>
    <w:rPr>
      <w:rFonts w:cs="Wingdings"/>
    </w:rPr>
  </w:style>
  <w:style w:type="character" w:styleId="ListLabel36" w:customStyle="1">
    <w:name w:val="ListLabel 36"/>
    <w:qFormat/>
    <w:rPr>
      <w:rFonts w:cs="Symbol"/>
    </w:rPr>
  </w:style>
  <w:style w:type="character" w:styleId="ListLabel37" w:customStyle="1">
    <w:name w:val="ListLabel 37"/>
    <w:qFormat/>
    <w:rPr>
      <w:rFonts w:cs="Courier New"/>
    </w:rPr>
  </w:style>
  <w:style w:type="character" w:styleId="ListLabel38" w:customStyle="1">
    <w:name w:val="ListLabel 38"/>
    <w:qFormat/>
    <w:rPr>
      <w:rFonts w:cs="Wingdings"/>
    </w:rPr>
  </w:style>
  <w:style w:type="character" w:styleId="ListLabel39" w:customStyle="1">
    <w:name w:val="ListLabel 39"/>
    <w:qFormat/>
    <w:rPr>
      <w:rFonts w:cs="Wingdings"/>
      <w:sz w:val="22"/>
    </w:rPr>
  </w:style>
  <w:style w:type="character" w:styleId="ListLabel40" w:customStyle="1">
    <w:name w:val="ListLabel 40"/>
    <w:qFormat/>
    <w:rPr>
      <w:rFonts w:cs="Wingdings"/>
    </w:rPr>
  </w:style>
  <w:style w:type="character" w:styleId="ListLabel41" w:customStyle="1">
    <w:name w:val="ListLabel 41"/>
    <w:qFormat/>
    <w:rPr>
      <w:rFonts w:cs="Wingdings"/>
    </w:rPr>
  </w:style>
  <w:style w:type="character" w:styleId="ListLabel42" w:customStyle="1">
    <w:name w:val="ListLabel 42"/>
    <w:qFormat/>
    <w:rPr>
      <w:rFonts w:cs="Wingdings"/>
    </w:rPr>
  </w:style>
  <w:style w:type="character" w:styleId="ListLabel43" w:customStyle="1">
    <w:name w:val="ListLabel 43"/>
    <w:qFormat/>
    <w:rPr>
      <w:rFonts w:cs="Wingdings"/>
    </w:rPr>
  </w:style>
  <w:style w:type="character" w:styleId="ListLabel44" w:customStyle="1">
    <w:name w:val="ListLabel 44"/>
    <w:qFormat/>
    <w:rPr>
      <w:rFonts w:cs="Wingdings"/>
    </w:rPr>
  </w:style>
  <w:style w:type="character" w:styleId="ListLabel45" w:customStyle="1">
    <w:name w:val="ListLabel 45"/>
    <w:qFormat/>
    <w:rPr>
      <w:rFonts w:cs="Wingdings"/>
    </w:rPr>
  </w:style>
  <w:style w:type="character" w:styleId="ListLabel46" w:customStyle="1">
    <w:name w:val="ListLabel 46"/>
    <w:qFormat/>
    <w:rPr>
      <w:rFonts w:cs="Wingdings"/>
    </w:rPr>
  </w:style>
  <w:style w:type="character" w:styleId="ListLabel47" w:customStyle="1">
    <w:name w:val="ListLabel 47"/>
    <w:qFormat/>
    <w:rPr>
      <w:rFonts w:cs="Wingdings"/>
    </w:rPr>
  </w:style>
  <w:style w:type="character" w:styleId="ListLabel48" w:customStyle="1">
    <w:name w:val="ListLabel 48"/>
    <w:qFormat/>
    <w:rPr>
      <w:rFonts w:cs="Comic Sans MS"/>
      <w:sz w:val="22"/>
    </w:rPr>
  </w:style>
  <w:style w:type="character" w:styleId="ListLabel49" w:customStyle="1">
    <w:name w:val="ListLabel 49"/>
    <w:qFormat/>
    <w:rPr>
      <w:rFonts w:cs="Courier New"/>
    </w:rPr>
  </w:style>
  <w:style w:type="character" w:styleId="ListLabel50" w:customStyle="1">
    <w:name w:val="ListLabel 50"/>
    <w:qFormat/>
    <w:rPr>
      <w:rFonts w:cs="Wingdings"/>
    </w:rPr>
  </w:style>
  <w:style w:type="character" w:styleId="ListLabel51" w:customStyle="1">
    <w:name w:val="ListLabel 51"/>
    <w:qFormat/>
    <w:rPr>
      <w:rFonts w:cs="Symbol"/>
    </w:rPr>
  </w:style>
  <w:style w:type="character" w:styleId="ListLabel52" w:customStyle="1">
    <w:name w:val="ListLabel 52"/>
    <w:qFormat/>
    <w:rPr>
      <w:rFonts w:cs="Courier New"/>
    </w:rPr>
  </w:style>
  <w:style w:type="character" w:styleId="ListLabel53" w:customStyle="1">
    <w:name w:val="ListLabel 53"/>
    <w:qFormat/>
    <w:rPr>
      <w:rFonts w:cs="Wingdings"/>
    </w:rPr>
  </w:style>
  <w:style w:type="character" w:styleId="ListLabel54" w:customStyle="1">
    <w:name w:val="ListLabel 54"/>
    <w:qFormat/>
    <w:rPr>
      <w:rFonts w:cs="Symbol"/>
    </w:rPr>
  </w:style>
  <w:style w:type="character" w:styleId="ListLabel55" w:customStyle="1">
    <w:name w:val="ListLabel 55"/>
    <w:qFormat/>
    <w:rPr>
      <w:rFonts w:cs="Courier New"/>
    </w:rPr>
  </w:style>
  <w:style w:type="character" w:styleId="ListLabel56" w:customStyle="1">
    <w:name w:val="ListLabel 56"/>
    <w:qFormat/>
    <w:rPr>
      <w:rFonts w:cs="Wingdings"/>
    </w:rPr>
  </w:style>
  <w:style w:type="character" w:styleId="ListLabel57" w:customStyle="1">
    <w:name w:val="ListLabel 57"/>
    <w:qFormat/>
    <w:rPr>
      <w:rFonts w:cs="Wingdings"/>
      <w:sz w:val="22"/>
    </w:rPr>
  </w:style>
  <w:style w:type="character" w:styleId="ListLabel58" w:customStyle="1">
    <w:name w:val="ListLabel 58"/>
    <w:qFormat/>
    <w:rPr>
      <w:rFonts w:cs="Wingdings"/>
    </w:rPr>
  </w:style>
  <w:style w:type="character" w:styleId="ListLabel59" w:customStyle="1">
    <w:name w:val="ListLabel 59"/>
    <w:qFormat/>
    <w:rPr>
      <w:rFonts w:cs="Wingdings"/>
    </w:rPr>
  </w:style>
  <w:style w:type="character" w:styleId="ListLabel60" w:customStyle="1">
    <w:name w:val="ListLabel 60"/>
    <w:qFormat/>
    <w:rPr>
      <w:rFonts w:cs="Wingdings"/>
    </w:rPr>
  </w:style>
  <w:style w:type="character" w:styleId="ListLabel61" w:customStyle="1">
    <w:name w:val="ListLabel 61"/>
    <w:qFormat/>
    <w:rPr>
      <w:rFonts w:cs="Wingdings"/>
    </w:rPr>
  </w:style>
  <w:style w:type="character" w:styleId="ListLabel62" w:customStyle="1">
    <w:name w:val="ListLabel 62"/>
    <w:qFormat/>
    <w:rPr>
      <w:rFonts w:cs="Wingdings"/>
    </w:rPr>
  </w:style>
  <w:style w:type="character" w:styleId="ListLabel63" w:customStyle="1">
    <w:name w:val="ListLabel 63"/>
    <w:qFormat/>
    <w:rPr>
      <w:rFonts w:cs="Wingdings"/>
    </w:rPr>
  </w:style>
  <w:style w:type="character" w:styleId="ListLabel64" w:customStyle="1">
    <w:name w:val="ListLabel 64"/>
    <w:qFormat/>
    <w:rPr>
      <w:rFonts w:cs="Wingdings"/>
    </w:rPr>
  </w:style>
  <w:style w:type="character" w:styleId="ListLabel65" w:customStyle="1">
    <w:name w:val="ListLabel 65"/>
    <w:qFormat/>
    <w:rPr>
      <w:rFonts w:cs="Wingdings"/>
    </w:rPr>
  </w:style>
  <w:style w:type="character" w:styleId="ListLabel66" w:customStyle="1">
    <w:name w:val="ListLabel 66"/>
    <w:qFormat/>
    <w:rPr>
      <w:rFonts w:cs="Comic Sans MS"/>
      <w:sz w:val="22"/>
    </w:rPr>
  </w:style>
  <w:style w:type="character" w:styleId="ListLabel67" w:customStyle="1">
    <w:name w:val="ListLabel 67"/>
    <w:qFormat/>
    <w:rPr>
      <w:rFonts w:cs="Courier New"/>
    </w:rPr>
  </w:style>
  <w:style w:type="character" w:styleId="ListLabel68" w:customStyle="1">
    <w:name w:val="ListLabel 68"/>
    <w:qFormat/>
    <w:rPr>
      <w:rFonts w:cs="Wingdings"/>
    </w:rPr>
  </w:style>
  <w:style w:type="character" w:styleId="ListLabel69" w:customStyle="1">
    <w:name w:val="ListLabel 69"/>
    <w:qFormat/>
    <w:rPr>
      <w:rFonts w:cs="Symbol"/>
    </w:rPr>
  </w:style>
  <w:style w:type="character" w:styleId="ListLabel70" w:customStyle="1">
    <w:name w:val="ListLabel 70"/>
    <w:qFormat/>
    <w:rPr>
      <w:rFonts w:cs="Courier New"/>
    </w:rPr>
  </w:style>
  <w:style w:type="character" w:styleId="ListLabel71" w:customStyle="1">
    <w:name w:val="ListLabel 71"/>
    <w:qFormat/>
    <w:rPr>
      <w:rFonts w:cs="Wingdings"/>
    </w:rPr>
  </w:style>
  <w:style w:type="character" w:styleId="ListLabel72" w:customStyle="1">
    <w:name w:val="ListLabel 72"/>
    <w:qFormat/>
    <w:rPr>
      <w:rFonts w:cs="Symbol"/>
    </w:rPr>
  </w:style>
  <w:style w:type="character" w:styleId="ListLabel73" w:customStyle="1">
    <w:name w:val="ListLabel 73"/>
    <w:qFormat/>
    <w:rPr>
      <w:rFonts w:cs="Courier New"/>
    </w:rPr>
  </w:style>
  <w:style w:type="character" w:styleId="ListLabel74" w:customStyle="1">
    <w:name w:val="ListLabel 74"/>
    <w:qFormat/>
    <w:rPr>
      <w:rFonts w:cs="Wingdings"/>
    </w:rPr>
  </w:style>
  <w:style w:type="character" w:styleId="ListLabel75" w:customStyle="1">
    <w:name w:val="ListLabel 75"/>
    <w:qFormat/>
    <w:rPr>
      <w:rFonts w:cs="Wingdings"/>
      <w:sz w:val="22"/>
    </w:rPr>
  </w:style>
  <w:style w:type="character" w:styleId="ListLabel76" w:customStyle="1">
    <w:name w:val="ListLabel 76"/>
    <w:qFormat/>
    <w:rPr>
      <w:rFonts w:cs="Wingdings"/>
    </w:rPr>
  </w:style>
  <w:style w:type="character" w:styleId="ListLabel77" w:customStyle="1">
    <w:name w:val="ListLabel 77"/>
    <w:qFormat/>
    <w:rPr>
      <w:rFonts w:cs="Wingdings"/>
    </w:rPr>
  </w:style>
  <w:style w:type="character" w:styleId="ListLabel78" w:customStyle="1">
    <w:name w:val="ListLabel 78"/>
    <w:qFormat/>
    <w:rPr>
      <w:rFonts w:cs="Wingdings"/>
    </w:rPr>
  </w:style>
  <w:style w:type="character" w:styleId="ListLabel79" w:customStyle="1">
    <w:name w:val="ListLabel 79"/>
    <w:qFormat/>
    <w:rPr>
      <w:rFonts w:cs="Wingdings"/>
    </w:rPr>
  </w:style>
  <w:style w:type="character" w:styleId="ListLabel80" w:customStyle="1">
    <w:name w:val="ListLabel 80"/>
    <w:qFormat/>
    <w:rPr>
      <w:rFonts w:cs="Wingdings"/>
    </w:rPr>
  </w:style>
  <w:style w:type="character" w:styleId="ListLabel81" w:customStyle="1">
    <w:name w:val="ListLabel 81"/>
    <w:qFormat/>
    <w:rPr>
      <w:rFonts w:cs="Wingdings"/>
    </w:rPr>
  </w:style>
  <w:style w:type="character" w:styleId="ListLabel82" w:customStyle="1">
    <w:name w:val="ListLabel 82"/>
    <w:qFormat/>
    <w:rPr>
      <w:rFonts w:cs="Wingdings"/>
    </w:rPr>
  </w:style>
  <w:style w:type="character" w:styleId="ListLabel83" w:customStyle="1">
    <w:name w:val="ListLabel 83"/>
    <w:qFormat/>
    <w:rPr>
      <w:rFonts w:cs="Wingdings"/>
    </w:rPr>
  </w:style>
  <w:style w:type="character" w:styleId="ListLabel84" w:customStyle="1">
    <w:name w:val="ListLabel 84"/>
    <w:qFormat/>
    <w:rPr>
      <w:rFonts w:cs="Comic Sans MS"/>
      <w:sz w:val="22"/>
    </w:rPr>
  </w:style>
  <w:style w:type="character" w:styleId="ListLabel85" w:customStyle="1">
    <w:name w:val="ListLabel 85"/>
    <w:qFormat/>
    <w:rPr>
      <w:rFonts w:cs="Courier New"/>
    </w:rPr>
  </w:style>
  <w:style w:type="character" w:styleId="ListLabel86" w:customStyle="1">
    <w:name w:val="ListLabel 86"/>
    <w:qFormat/>
    <w:rPr>
      <w:rFonts w:cs="Wingdings"/>
    </w:rPr>
  </w:style>
  <w:style w:type="character" w:styleId="ListLabel87" w:customStyle="1">
    <w:name w:val="ListLabel 87"/>
    <w:qFormat/>
    <w:rPr>
      <w:rFonts w:cs="Symbol"/>
    </w:rPr>
  </w:style>
  <w:style w:type="character" w:styleId="ListLabel88" w:customStyle="1">
    <w:name w:val="ListLabel 88"/>
    <w:qFormat/>
    <w:rPr>
      <w:rFonts w:cs="Courier New"/>
    </w:rPr>
  </w:style>
  <w:style w:type="character" w:styleId="ListLabel89" w:customStyle="1">
    <w:name w:val="ListLabel 89"/>
    <w:qFormat/>
    <w:rPr>
      <w:rFonts w:cs="Wingdings"/>
    </w:rPr>
  </w:style>
  <w:style w:type="character" w:styleId="ListLabel90" w:customStyle="1">
    <w:name w:val="ListLabel 90"/>
    <w:qFormat/>
    <w:rPr>
      <w:rFonts w:cs="Symbol"/>
    </w:rPr>
  </w:style>
  <w:style w:type="character" w:styleId="ListLabel91" w:customStyle="1">
    <w:name w:val="ListLabel 91"/>
    <w:qFormat/>
    <w:rPr>
      <w:rFonts w:cs="Courier New"/>
    </w:rPr>
  </w:style>
  <w:style w:type="character" w:styleId="ListLabel92" w:customStyle="1">
    <w:name w:val="ListLabel 92"/>
    <w:qFormat/>
    <w:rPr>
      <w:rFonts w:cs="Wingdings"/>
    </w:rPr>
  </w:style>
  <w:style w:type="character" w:styleId="ListLabel93" w:customStyle="1">
    <w:name w:val="ListLabel 93"/>
    <w:qFormat/>
    <w:rPr>
      <w:rFonts w:cs="Wingdings"/>
      <w:sz w:val="22"/>
    </w:rPr>
  </w:style>
  <w:style w:type="character" w:styleId="ListLabel94" w:customStyle="1">
    <w:name w:val="ListLabel 94"/>
    <w:qFormat/>
    <w:rPr>
      <w:rFonts w:cs="Wingdings"/>
    </w:rPr>
  </w:style>
  <w:style w:type="character" w:styleId="ListLabel95" w:customStyle="1">
    <w:name w:val="ListLabel 95"/>
    <w:qFormat/>
    <w:rPr>
      <w:rFonts w:cs="Wingdings"/>
    </w:rPr>
  </w:style>
  <w:style w:type="character" w:styleId="ListLabel96" w:customStyle="1">
    <w:name w:val="ListLabel 96"/>
    <w:qFormat/>
    <w:rPr>
      <w:rFonts w:cs="Wingdings"/>
    </w:rPr>
  </w:style>
  <w:style w:type="character" w:styleId="ListLabel97" w:customStyle="1">
    <w:name w:val="ListLabel 97"/>
    <w:qFormat/>
    <w:rPr>
      <w:rFonts w:cs="Wingdings"/>
    </w:rPr>
  </w:style>
  <w:style w:type="character" w:styleId="ListLabel98" w:customStyle="1">
    <w:name w:val="ListLabel 98"/>
    <w:qFormat/>
    <w:rPr>
      <w:rFonts w:cs="Wingdings"/>
    </w:rPr>
  </w:style>
  <w:style w:type="character" w:styleId="ListLabel99" w:customStyle="1">
    <w:name w:val="ListLabel 99"/>
    <w:qFormat/>
    <w:rPr>
      <w:rFonts w:cs="Wingdings"/>
    </w:rPr>
  </w:style>
  <w:style w:type="character" w:styleId="ListLabel100" w:customStyle="1">
    <w:name w:val="ListLabel 100"/>
    <w:qFormat/>
    <w:rPr>
      <w:rFonts w:cs="Wingdings"/>
    </w:rPr>
  </w:style>
  <w:style w:type="character" w:styleId="ListLabel101" w:customStyle="1">
    <w:name w:val="ListLabel 101"/>
    <w:qFormat/>
    <w:rPr>
      <w:rFonts w:cs="Wingdings"/>
    </w:rPr>
  </w:style>
  <w:style w:type="character" w:styleId="Style12" w:customStyle="1">
    <w:name w:val="Τηλέτυπο"/>
    <w:qFormat/>
    <w:rPr>
      <w:rFonts w:ascii="Liberation Mono" w:hAnsi="Liberation Mono" w:eastAsia="Liberation Mono" w:cs="Liberation Mono"/>
    </w:rPr>
  </w:style>
  <w:style w:type="character" w:styleId="Style13" w:customStyle="1">
    <w:name w:val="Χαρακτήρες αρίθμησης"/>
    <w:qFormat/>
    <w:rPr/>
  </w:style>
  <w:style w:type="paragraph" w:styleId="Style14" w:customStyle="1">
    <w:name w:val="Επικεφαλίδα"/>
    <w:basedOn w:val="Normal"/>
    <w:next w:val="Style15"/>
    <w:qFormat/>
    <w:pPr>
      <w:keepNext w:val="true"/>
      <w:spacing w:before="240" w:after="120"/>
    </w:pPr>
    <w:rPr>
      <w:rFonts w:ascii="Liberation Sans" w:hAnsi="Liberation Sans" w:eastAsia="Droid Sans Fallback"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rebuchet MS" w:hAnsi="Trebuchet MS" w:cs="FreeSans"/>
    </w:rPr>
  </w:style>
  <w:style w:type="paragraph" w:styleId="Style17">
    <w:name w:val="Caption"/>
    <w:basedOn w:val="Normal"/>
    <w:qFormat/>
    <w:pPr>
      <w:suppressLineNumbers/>
      <w:spacing w:before="120" w:after="120"/>
    </w:pPr>
    <w:rPr>
      <w:rFonts w:ascii="Trebuchet MS" w:hAnsi="Trebuchet MS" w:cs="Lohit Devanagari"/>
      <w:i/>
      <w:iCs/>
      <w:sz w:val="22"/>
      <w:szCs w:val="24"/>
    </w:rPr>
  </w:style>
  <w:style w:type="paragraph" w:styleId="Style18" w:customStyle="1">
    <w:name w:val="Ευρετήριο"/>
    <w:basedOn w:val="Normal"/>
    <w:qFormat/>
    <w:pPr>
      <w:suppressLineNumbers/>
    </w:pPr>
    <w:rPr>
      <w:rFonts w:ascii="Trebuchet MS" w:hAnsi="Trebuchet MS" w:cs="FreeSans"/>
    </w:rPr>
  </w:style>
  <w:style w:type="paragraph" w:styleId="Caption">
    <w:name w:val="caption"/>
    <w:basedOn w:val="Normal"/>
    <w:qFormat/>
    <w:pPr>
      <w:suppressLineNumbers/>
      <w:spacing w:before="120" w:after="120"/>
    </w:pPr>
    <w:rPr>
      <w:rFonts w:ascii="Trebuchet MS" w:hAnsi="Trebuchet MS" w:cs="FreeSans"/>
      <w:i/>
      <w:iCs/>
    </w:rPr>
  </w:style>
  <w:style w:type="paragraph" w:styleId="TextBody" w:customStyle="1">
    <w:name w:val="Text Body"/>
    <w:basedOn w:val="Normal"/>
    <w:qFormat/>
    <w:pPr>
      <w:spacing w:lineRule="auto" w:line="288" w:before="0" w:after="140"/>
    </w:pPr>
    <w:rPr/>
  </w:style>
  <w:style w:type="paragraph" w:styleId="BalloonText">
    <w:name w:val="Balloon Text"/>
    <w:basedOn w:val="Normal"/>
    <w:link w:val="Char"/>
    <w:uiPriority w:val="99"/>
    <w:qFormat/>
    <w:rsid w:val="00cb7f13"/>
    <w:pPr/>
    <w:rPr>
      <w:rFonts w:ascii="Tahoma" w:hAnsi="Tahoma" w:cs="Tahoma"/>
      <w:sz w:val="16"/>
      <w:szCs w:val="16"/>
    </w:rPr>
  </w:style>
  <w:style w:type="paragraph" w:styleId="NormalWeb">
    <w:name w:val="Normal (Web)"/>
    <w:uiPriority w:val="99"/>
    <w:qFormat/>
    <w:rsid w:val="0082110a"/>
    <w:pPr>
      <w:widowControl w:val="false"/>
      <w:suppressAutoHyphens w:val="true"/>
      <w:bidi w:val="0"/>
      <w:jc w:val="left"/>
    </w:pPr>
    <w:rPr>
      <w:rFonts w:ascii="Times New Roman" w:hAnsi="Times New Roman" w:eastAsia="Batang" w:cs="Times New Roman"/>
      <w:color w:val="00000A"/>
      <w:kern w:val="0"/>
      <w:sz w:val="22"/>
      <w:szCs w:val="22"/>
      <w:lang w:val="el-GR" w:eastAsia="el-GR" w:bidi="ar-SA"/>
    </w:rPr>
  </w:style>
  <w:style w:type="paragraph" w:styleId="Default" w:customStyle="1">
    <w:name w:val="Default"/>
    <w:uiPriority w:val="99"/>
    <w:qFormat/>
    <w:rsid w:val="0082110a"/>
    <w:pPr>
      <w:widowControl/>
      <w:suppressAutoHyphens w:val="true"/>
      <w:bidi w:val="0"/>
      <w:jc w:val="left"/>
    </w:pPr>
    <w:rPr>
      <w:rFonts w:ascii="Comic Sans MS" w:hAnsi="Comic Sans MS" w:cs="Comic Sans MS" w:eastAsia="Batang"/>
      <w:color w:val="000000"/>
      <w:kern w:val="0"/>
      <w:sz w:val="24"/>
      <w:szCs w:val="24"/>
      <w:lang w:val="el-GR" w:eastAsia="el-GR" w:bidi="ar-SA"/>
    </w:rPr>
  </w:style>
  <w:style w:type="paragraph" w:styleId="Annotationtext">
    <w:name w:val="annotation text"/>
    <w:basedOn w:val="Normal"/>
    <w:uiPriority w:val="99"/>
    <w:semiHidden/>
    <w:unhideWhenUsed/>
    <w:qFormat/>
    <w:rsid w:val="00b62fcf"/>
    <w:pPr/>
    <w:rPr>
      <w:sz w:val="20"/>
      <w:szCs w:val="20"/>
    </w:rPr>
  </w:style>
  <w:style w:type="paragraph" w:styleId="Annotationsubject">
    <w:name w:val="annotation subject"/>
    <w:basedOn w:val="Annotationtext"/>
    <w:link w:val="Char1"/>
    <w:uiPriority w:val="99"/>
    <w:semiHidden/>
    <w:unhideWhenUsed/>
    <w:qFormat/>
    <w:rsid w:val="00b62fcf"/>
    <w:pPr/>
    <w:rPr>
      <w:b/>
      <w:bCs/>
    </w:rPr>
  </w:style>
  <w:style w:type="paragraph" w:styleId="Style19" w:customStyle="1">
    <w:name w:val="Παραθέσεις"/>
    <w:basedOn w:val="Normal"/>
    <w:qFormat/>
    <w:pPr/>
    <w:rPr/>
  </w:style>
  <w:style w:type="paragraph" w:styleId="Style20">
    <w:name w:val="Title"/>
    <w:basedOn w:val="Style14"/>
    <w:qFormat/>
    <w:pPr/>
    <w:rPr/>
  </w:style>
  <w:style w:type="paragraph" w:styleId="Style21">
    <w:name w:val="Subtitle"/>
    <w:basedOn w:val="Style14"/>
    <w:qFormat/>
    <w:pPr/>
    <w:rPr/>
  </w:style>
  <w:style w:type="paragraph" w:styleId="Style22" w:customStyle="1">
    <w:name w:val="Προμορφοποιημένο κείμενο"/>
    <w:basedOn w:val="Normal"/>
    <w:qFormat/>
    <w:pPr/>
    <w:rPr/>
  </w:style>
  <w:style w:type="paragraph" w:styleId="ListParagraph">
    <w:name w:val="List Paragraph"/>
    <w:basedOn w:val="Normal"/>
    <w:qFormat/>
    <w:pPr>
      <w:spacing w:before="0" w:after="200"/>
      <w:ind w:left="720" w:hanging="0"/>
      <w:contextualSpacing/>
    </w:pPr>
    <w:rPr/>
  </w:style>
  <w:style w:type="numbering" w:styleId="NoList" w:default="1">
    <w:name w:val="No List"/>
    <w:uiPriority w:val="99"/>
    <w:semiHidden/>
    <w:unhideWhenUsed/>
    <w:qFormat/>
  </w:style>
  <w:style w:type="table" w:default="1" w:styleId="a2">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Application>LibreOffice/6.0.6.2$Linux_X86_64 LibreOffice_project/00m0$Build-2</Application>
  <Pages>1</Pages>
  <Words>556</Words>
  <Characters>3288</Characters>
  <CharactersWithSpaces>3841</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2019-02-18T09:27:00Z</dcterms:created>
  <dc:creator>user</dc:creator>
  <dc:description/>
  <dc:language>el-GR</dc:language>
  <cp:lastModifiedBy/>
  <dcterms:modified xsi:type="dcterms:W3CDTF">2019-02-18T14:09:31Z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