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hd w:fill="FFFFFF" w:val="clear"/>
        <w:tabs/>
        <w:spacing w:lineRule="auto" w:line="288" w:before="113" w:after="113"/>
        <w:jc w:val="center"/>
        <w:rPr>
          <w:rFonts w:eastAsia="Times New Roman" w:cs="Times New Roman" w:ascii="Times New Roman" w:hAnsi="Times New Roman"/>
          <w:b/>
          <w:bCs/>
          <w:color w:val="000000"/>
          <w:sz w:val="24"/>
          <w:szCs w:val="24"/>
          <w:lang w:eastAsia="en-US" w:bidi="ar-SA"/>
        </w:rPr>
      </w:pPr>
      <w:bookmarkStart w:id="0" w:name="__DdeLink__2743_728278057"/>
      <w:r>
        <w:rPr>
          <w:rFonts w:eastAsia="Times New Roman" w:cs="Times New Roman" w:ascii="Times New Roman" w:hAnsi="Times New Roman"/>
          <w:b/>
          <w:bCs/>
          <w:color w:val="000000"/>
          <w:sz w:val="24"/>
          <w:szCs w:val="24"/>
          <w:lang w:eastAsia="en-US" w:bidi="ar-SA"/>
        </w:rPr>
        <w:t>ΚΣ ΣΥΛΛΟΓΟΥ ΔΕΠ ΠΑΝΕΠΙΣΤΗΜΙΟΥ ΑΙΓΑΙΟΥ</w:t>
      </w:r>
    </w:p>
    <w:p>
      <w:pPr>
        <w:pStyle w:val="Normal"/>
        <w:shd w:fill="FFFFFF" w:val="clear"/>
        <w:tabs/>
        <w:spacing w:lineRule="auto" w:line="288" w:before="113" w:after="113"/>
        <w:jc w:val="center"/>
        <w:rPr>
          <w:rFonts w:eastAsia="Times New Roman" w:cs="Times New Roman" w:ascii="Times New Roman" w:hAnsi="Times New Roman"/>
          <w:b/>
          <w:bCs/>
          <w:color w:val="000000"/>
          <w:sz w:val="24"/>
          <w:szCs w:val="24"/>
          <w:lang w:eastAsia="en-US" w:bidi="ar-SA"/>
        </w:rPr>
      </w:pPr>
      <w:r>
        <w:rPr>
          <w:rFonts w:eastAsia="Times New Roman" w:cs="Times New Roman" w:ascii="Times New Roman" w:hAnsi="Times New Roman"/>
          <w:b/>
          <w:bCs/>
          <w:color w:val="000000"/>
          <w:sz w:val="24"/>
          <w:szCs w:val="24"/>
          <w:lang w:eastAsia="en-US" w:bidi="ar-SA"/>
        </w:rPr>
        <w:t>ΔΙΕΚΔΙΚΗΣΕΙΣ  - ΑΙΤΗΜΑΤΑ</w:t>
      </w:r>
    </w:p>
    <w:p>
      <w:pPr>
        <w:pStyle w:val="Style17"/>
        <w:numPr>
          <w:ilvl w:val="0"/>
          <w:numId w:val="1"/>
        </w:numPr>
        <w:spacing w:before="0" w:after="0"/>
        <w:jc w:val="both"/>
        <w:rPr>
          <w:rFonts w:cs="Segoe UI" w:ascii="Times New Roman" w:hAnsi="Times New Roman"/>
          <w:color w:val="000000"/>
          <w:sz w:val="22"/>
          <w:szCs w:val="22"/>
          <w:shd w:fill="auto" w:val="clear"/>
        </w:rPr>
      </w:pPr>
      <w:r>
        <w:rPr>
          <w:rStyle w:val="Strong"/>
          <w:rFonts w:cs="Segoe UI" w:ascii="Times New Roman" w:hAnsi="Times New Roman"/>
          <w:b w:val="false"/>
          <w:bCs w:val="false"/>
          <w:color w:val="000000"/>
          <w:sz w:val="22"/>
          <w:szCs w:val="22"/>
          <w:shd w:fill="auto" w:val="clear"/>
        </w:rPr>
        <w:t>Κάλυψη του συνόλου των εκπαιδευτικών και ερευνητικών αναγκών αποκλειστικά από τον κρατικό προϋπολογισμό</w:t>
      </w:r>
      <w:r>
        <w:rPr>
          <w:rFonts w:cs="Segoe UI" w:ascii="Times New Roman" w:hAnsi="Times New Roman"/>
          <w:color w:val="000000"/>
          <w:sz w:val="22"/>
          <w:szCs w:val="22"/>
          <w:shd w:fill="auto" w:val="clear"/>
        </w:rPr>
        <w:t xml:space="preserve">. </w:t>
      </w:r>
    </w:p>
    <w:p>
      <w:pPr>
        <w:pStyle w:val="Style17"/>
        <w:numPr>
          <w:ilvl w:val="0"/>
          <w:numId w:val="1"/>
        </w:numPr>
        <w:spacing w:before="0" w:after="0"/>
        <w:jc w:val="both"/>
        <w:rPr>
          <w:rFonts w:cs="Segoe UI" w:ascii="Times New Roman" w:hAnsi="Times New Roman"/>
          <w:color w:val="000000"/>
          <w:sz w:val="22"/>
          <w:szCs w:val="22"/>
          <w:shd w:fill="auto" w:val="clear"/>
        </w:rPr>
      </w:pPr>
      <w:r>
        <w:rPr>
          <w:rStyle w:val="Strong"/>
          <w:rFonts w:cs="Segoe UI" w:ascii="Times New Roman" w:hAnsi="Times New Roman"/>
          <w:b w:val="false"/>
          <w:bCs w:val="false"/>
          <w:color w:val="000000"/>
          <w:sz w:val="22"/>
          <w:szCs w:val="22"/>
          <w:shd w:fill="auto" w:val="clear"/>
        </w:rPr>
        <w:t xml:space="preserve">Προκηρύξεις θέσεων και διορισμοί χωρίς κωλυσιεργίες μελών ΔΕΠ και διοικητικού/τεχνικού προσωπικού. </w:t>
      </w:r>
      <w:r>
        <w:rPr>
          <w:rFonts w:cs="Segoe UI" w:ascii="Times New Roman" w:hAnsi="Times New Roman"/>
          <w:color w:val="000000"/>
          <w:sz w:val="22"/>
          <w:szCs w:val="22"/>
          <w:shd w:fill="auto" w:val="clear"/>
        </w:rPr>
        <w:t>Οργανικές-μόνιμες θέσεις που να καλύπτουν πλήρως τις ανάγκες των Ιδρυμάτων. Κατάργηση όλων των διατάξεων που προβλέπουν ελαστικές σχέσεις εργασίας και των εργολαβικών εταιρειών (β. Καθαριότητας και φύλαξης).</w:t>
      </w:r>
    </w:p>
    <w:p>
      <w:pPr>
        <w:pStyle w:val="Style17"/>
        <w:numPr>
          <w:ilvl w:val="0"/>
          <w:numId w:val="1"/>
        </w:numPr>
        <w:spacing w:before="0" w:after="0"/>
        <w:jc w:val="both"/>
        <w:rPr>
          <w:rFonts w:cs="Segoe UI" w:ascii="Times New Roman" w:hAnsi="Times New Roman"/>
          <w:color w:val="000000"/>
          <w:sz w:val="22"/>
          <w:szCs w:val="22"/>
          <w:shd w:fill="auto" w:val="clear"/>
        </w:rPr>
      </w:pPr>
      <w:r>
        <w:rPr>
          <w:rFonts w:cs="Segoe UI" w:ascii="Times New Roman" w:hAnsi="Times New Roman"/>
          <w:color w:val="000000"/>
          <w:sz w:val="22"/>
          <w:szCs w:val="22"/>
          <w:shd w:fill="auto" w:val="clear"/>
        </w:rPr>
        <w:t>Κατάργηση του νέου μισθολο</w:t>
      </w:r>
      <w:r>
        <w:rPr>
          <w:rFonts w:cs="Segoe UI" w:ascii="Times New Roman" w:hAnsi="Times New Roman"/>
          <w:color w:val="000000"/>
          <w:sz w:val="22"/>
          <w:szCs w:val="22"/>
          <w:shd w:fill="auto" w:val="clear"/>
        </w:rPr>
        <w:t>γί</w:t>
      </w:r>
      <w:r>
        <w:rPr>
          <w:rFonts w:cs="Segoe UI" w:ascii="Times New Roman" w:hAnsi="Times New Roman"/>
          <w:color w:val="000000"/>
          <w:sz w:val="22"/>
          <w:szCs w:val="22"/>
          <w:shd w:fill="auto" w:val="clear"/>
        </w:rPr>
        <w:t>ου και α</w:t>
      </w:r>
      <w:r>
        <w:rPr>
          <w:rFonts w:ascii="Times New Roman" w:hAnsi="Times New Roman"/>
          <w:color w:val="000000"/>
          <w:sz w:val="22"/>
          <w:szCs w:val="22"/>
          <w:shd w:fill="auto" w:val="clear"/>
        </w:rPr>
        <w:t>ναπλήρωση όλων των απωλειών και πραγματικές αυξήσεις σε μισθούς και συντάξεις</w:t>
      </w:r>
      <w:r>
        <w:rPr>
          <w:rFonts w:cs="Segoe UI" w:ascii="Times New Roman" w:hAnsi="Times New Roman"/>
          <w:color w:val="000000"/>
          <w:sz w:val="22"/>
          <w:szCs w:val="22"/>
          <w:shd w:fill="auto" w:val="clear"/>
        </w:rPr>
        <w:t xml:space="preserve">. </w:t>
      </w:r>
    </w:p>
    <w:p>
      <w:pPr>
        <w:pStyle w:val="Style17"/>
        <w:numPr>
          <w:ilvl w:val="0"/>
          <w:numId w:val="1"/>
        </w:numPr>
        <w:spacing w:before="0" w:after="0"/>
        <w:jc w:val="both"/>
        <w:rPr>
          <w:rFonts w:cs="Segoe UI" w:ascii="Times New Roman" w:hAnsi="Times New Roman"/>
          <w:color w:val="000000"/>
          <w:sz w:val="22"/>
          <w:szCs w:val="22"/>
          <w:shd w:fill="auto" w:val="clear"/>
        </w:rPr>
      </w:pPr>
      <w:r>
        <w:rPr>
          <w:rFonts w:cs="Segoe UI" w:ascii="Times New Roman" w:hAnsi="Times New Roman"/>
          <w:color w:val="000000"/>
          <w:sz w:val="22"/>
          <w:szCs w:val="22"/>
          <w:shd w:fill="auto" w:val="clear"/>
        </w:rPr>
        <w:t xml:space="preserve">Θεσμοθέτηση  </w:t>
      </w:r>
      <w:r>
        <w:rPr>
          <w:rStyle w:val="Strong"/>
          <w:rFonts w:cs="Segoe UI" w:ascii="Times New Roman" w:hAnsi="Times New Roman"/>
          <w:b w:val="false"/>
          <w:bCs w:val="false"/>
          <w:color w:val="000000"/>
          <w:sz w:val="22"/>
          <w:szCs w:val="22"/>
          <w:shd w:fill="auto" w:val="clear"/>
        </w:rPr>
        <w:t>πλήρους και αποκλειστικής απασχόλησης για το σύνολο του ΔΕΠ</w:t>
      </w:r>
      <w:r>
        <w:rPr>
          <w:rFonts w:cs="Segoe UI" w:ascii="Times New Roman" w:hAnsi="Times New Roman"/>
          <w:color w:val="000000"/>
          <w:sz w:val="22"/>
          <w:szCs w:val="22"/>
          <w:shd w:fill="auto" w:val="clear"/>
        </w:rPr>
        <w:t> με νέο πανεπιστημιακό μισθολόγιο με άξονες: (α) κατάργηση του επιδοματικού χαρακτήρα με ενσωμάτωση όλων των επιδομάτων στο βασικό μισθό, (β) αναγκαίες αυξήσεις για αξιοπρεπή διαβίωση και επιστημονική ενημέρωση, κλιμάκωση των μισθών με μεγαλύτερες αυξήσεις για τις κατώτερες βαθμίδες, (γ) καθιέρωση της σύνταξης στο 80% του μισθού του τελευταίου εργασιακού έτους, (δ) αξιοπρεπή, δωρεάν και χωρίς χαράτσια ιατροφαρμακευτική περίθαλψη σε ένα αναβαθμισμένο δημόσιο σύστημα Υγείας.</w:t>
      </w:r>
    </w:p>
    <w:p>
      <w:pPr>
        <w:pStyle w:val="Style17"/>
        <w:numPr>
          <w:ilvl w:val="0"/>
          <w:numId w:val="1"/>
        </w:numPr>
        <w:spacing w:before="0" w:after="0"/>
        <w:jc w:val="both"/>
        <w:rPr>
          <w:rFonts w:cs="Segoe UI" w:ascii="Times New Roman" w:hAnsi="Times New Roman"/>
          <w:color w:val="000000"/>
          <w:sz w:val="22"/>
          <w:szCs w:val="22"/>
          <w:shd w:fill="auto" w:val="clear"/>
        </w:rPr>
      </w:pPr>
      <w:r>
        <w:rPr>
          <w:rFonts w:cs="Segoe UI" w:ascii="Times New Roman" w:hAnsi="Times New Roman"/>
          <w:color w:val="000000"/>
          <w:sz w:val="22"/>
          <w:szCs w:val="22"/>
          <w:shd w:fill="auto" w:val="clear"/>
        </w:rPr>
        <w:t>Κατάργηση όλων των νόμων που εμπορευματοποιούν και ιδιωτικοποιούν τα πανεπιστήμια. Κατάργηση διδάκτρων και λήψη μέτρων ώστε </w:t>
      </w:r>
      <w:r>
        <w:rPr>
          <w:rStyle w:val="Strong"/>
          <w:rFonts w:cs="Segoe UI" w:ascii="Times New Roman" w:hAnsi="Times New Roman"/>
          <w:b w:val="false"/>
          <w:bCs w:val="false"/>
          <w:color w:val="000000"/>
          <w:sz w:val="22"/>
          <w:szCs w:val="22"/>
          <w:shd w:fill="auto" w:val="clear"/>
        </w:rPr>
        <w:t>να μην εγκαταλείψει κανένας φοιτητής τις σπουδές του για οικονομικούς λόγους</w:t>
      </w:r>
      <w:r>
        <w:rPr>
          <w:rFonts w:cs="Segoe UI" w:ascii="Times New Roman" w:hAnsi="Times New Roman"/>
          <w:color w:val="000000"/>
          <w:sz w:val="22"/>
          <w:szCs w:val="22"/>
          <w:shd w:fill="auto" w:val="clear"/>
        </w:rPr>
        <w:t>. Άμεση οικονομική ενίσχυση της φοιτητικής μέριμνας και της δωρεάν διανομής συγγραμμάτων. Δωρεάν στέγαση-σίτιση για όλους όσοι σπουδάζουν μακριά από τις οικογένειές τους.</w:t>
      </w:r>
    </w:p>
    <w:p>
      <w:pPr>
        <w:pStyle w:val="Style17"/>
        <w:spacing w:before="0" w:after="0"/>
        <w:jc w:val="both"/>
        <w:rPr>
          <w:rFonts w:ascii="Times New Roman" w:hAnsi="Times New Roman"/>
          <w:sz w:val="22"/>
          <w:szCs w:val="22"/>
          <w:shd w:fill="auto" w:val="clear"/>
        </w:rPr>
      </w:pPr>
      <w:r>
        <w:rPr>
          <w:rFonts w:ascii="Times New Roman" w:hAnsi="Times New Roman"/>
          <w:sz w:val="22"/>
          <w:szCs w:val="22"/>
          <w:shd w:fill="auto" w:val="clear"/>
        </w:rPr>
      </w:r>
    </w:p>
    <w:p>
      <w:pPr>
        <w:pStyle w:val="Style17"/>
        <w:spacing w:before="0" w:after="0"/>
        <w:jc w:val="both"/>
        <w:rPr>
          <w:rFonts w:cs="Segoe UI" w:ascii="Times New Roman" w:hAnsi="Times New Roman"/>
          <w:color w:val="000000"/>
          <w:sz w:val="22"/>
          <w:szCs w:val="22"/>
          <w:shd w:fill="auto" w:val="clear"/>
        </w:rPr>
      </w:pPr>
      <w:r>
        <w:rPr>
          <w:rFonts w:cs="Segoe UI" w:ascii="Times New Roman" w:hAnsi="Times New Roman"/>
          <w:color w:val="000000"/>
          <w:sz w:val="22"/>
          <w:szCs w:val="22"/>
          <w:shd w:fill="auto" w:val="clear"/>
        </w:rPr>
        <w:t>Και όσον αφορά το δικό μας πανεπιστήμιο συνεχίζουμε τη διεκδίκηση των αιτημάτων των ακριτικών πανεπιστημίων ό</w:t>
      </w:r>
      <w:r>
        <w:rPr>
          <w:rFonts w:cs="Segoe UI" w:ascii="Times New Roman" w:hAnsi="Times New Roman"/>
          <w:color w:val="000000"/>
          <w:sz w:val="22"/>
          <w:szCs w:val="22"/>
          <w:shd w:fill="auto" w:val="clear"/>
        </w:rPr>
        <w:t xml:space="preserve">πως </w:t>
      </w:r>
      <w:r>
        <w:rPr>
          <w:rFonts w:cs="Segoe UI" w:ascii="Times New Roman" w:hAnsi="Times New Roman"/>
          <w:color w:val="000000"/>
          <w:sz w:val="22"/>
          <w:szCs w:val="22"/>
          <w:shd w:fill="auto" w:val="clear"/>
        </w:rPr>
        <w:t xml:space="preserve">επίδομα παραμεθορίου και προβληματικών περιοχών, </w:t>
      </w:r>
      <w:r>
        <w:rPr>
          <w:rFonts w:cs="Segoe UI" w:ascii="Times New Roman" w:hAnsi="Times New Roman"/>
          <w:color w:val="000000"/>
          <w:sz w:val="22"/>
          <w:szCs w:val="22"/>
          <w:shd w:fill="auto" w:val="clear"/>
        </w:rPr>
        <w:t>ε</w:t>
      </w:r>
      <w:r>
        <w:rPr>
          <w:rFonts w:eastAsia="Times New Roman" w:cs="Trebuchet MS" w:ascii="Times New Roman" w:hAnsi="Times New Roman"/>
          <w:sz w:val="22"/>
          <w:szCs w:val="22"/>
          <w:shd w:fill="auto" w:val="clear"/>
          <w:lang w:bidi="ar-SA"/>
        </w:rPr>
        <w:t xml:space="preserve">νίσχυση του τακτικού προϋπολογισμού των ακριτικών πανεπιστημιακών ιδρυμάτων για </w:t>
      </w:r>
      <w:r>
        <w:rPr>
          <w:rFonts w:cs="Segoe UI" w:ascii="Times New Roman" w:hAnsi="Times New Roman"/>
          <w:color w:val="000000"/>
          <w:sz w:val="22"/>
          <w:szCs w:val="22"/>
          <w:shd w:fill="auto" w:val="clear"/>
        </w:rPr>
        <w:t>επιδότηση αγοράς κατοικίας, επιπρόσθετα κίνητρα εγκατάστασης.</w:t>
      </w:r>
      <w:r>
        <w:rPr>
          <w:rFonts w:cs="Segoe UI" w:ascii="Times New Roman" w:hAnsi="Times New Roman"/>
          <w:color w:val="000000"/>
          <w:sz w:val="22"/>
          <w:szCs w:val="22"/>
          <w:shd w:fill="auto" w:val="clear"/>
        </w:rPr>
        <w:t xml:space="preserve"> Αναλυτικά:</w:t>
      </w:r>
    </w:p>
    <w:p>
      <w:pPr>
        <w:pStyle w:val="Style17"/>
        <w:spacing w:before="0" w:after="0"/>
        <w:jc w:val="both"/>
        <w:rPr>
          <w:rFonts w:ascii="Times New Roman" w:hAnsi="Times New Roman"/>
          <w:sz w:val="22"/>
          <w:szCs w:val="22"/>
        </w:rPr>
      </w:pPr>
      <w:r>
        <w:rPr>
          <w:rFonts w:ascii="Times New Roman" w:hAnsi="Times New Roman"/>
          <w:sz w:val="22"/>
          <w:szCs w:val="22"/>
        </w:rPr>
        <w:t>____________________________________________________</w:t>
      </w:r>
    </w:p>
    <w:p>
      <w:pPr>
        <w:pStyle w:val="Style17"/>
        <w:spacing w:before="0" w:after="0"/>
        <w:jc w:val="both"/>
        <w:rPr>
          <w:rFonts w:ascii="Times New Roman" w:hAnsi="Times New Roman"/>
          <w:sz w:val="22"/>
          <w:szCs w:val="22"/>
        </w:rPr>
      </w:pPr>
      <w:r>
        <w:rPr>
          <w:rFonts w:ascii="Times New Roman" w:hAnsi="Times New Roman"/>
          <w:sz w:val="22"/>
          <w:szCs w:val="22"/>
        </w:rPr>
      </w:r>
    </w:p>
    <w:p>
      <w:pPr>
        <w:pStyle w:val="Style17"/>
        <w:spacing w:before="0" w:after="0"/>
        <w:jc w:val="center"/>
        <w:rPr>
          <w:rFonts w:eastAsia="Times New Roman" w:cs="Trebuchet MS" w:ascii="Times New Roman" w:hAnsi="Times New Roman"/>
          <w:b/>
          <w:bCs/>
          <w:color w:val="auto"/>
          <w:sz w:val="24"/>
          <w:szCs w:val="24"/>
          <w:lang w:val="el-GR" w:eastAsia="zxx" w:bidi="ar-SA"/>
        </w:rPr>
      </w:pPr>
      <w:r>
        <w:rPr>
          <w:rFonts w:eastAsia="Times New Roman" w:cs="Trebuchet MS" w:ascii="Times New Roman" w:hAnsi="Times New Roman"/>
          <w:b/>
          <w:bCs/>
          <w:color w:val="auto"/>
          <w:sz w:val="24"/>
          <w:szCs w:val="24"/>
          <w:lang w:val="el-GR" w:eastAsia="zxx" w:bidi="ar-SA"/>
        </w:rPr>
        <w:t>ΑΙΤΗΜΑΤΑ ΣΥΛΛΟΓΟΥ ΔΕΠ ΠΑΝΕΠΙΣΤΗΜΙΟΥ ΑΙΓΑΙΟΥ</w:t>
      </w:r>
    </w:p>
    <w:p>
      <w:pPr>
        <w:pStyle w:val="Default"/>
        <w:spacing w:before="0" w:after="0"/>
        <w:jc w:val="both"/>
        <w:rPr>
          <w:rFonts w:eastAsia="Times New Roman" w:cs="Trebuchet MS" w:ascii="Times New Roman" w:hAnsi="Times New Roman"/>
          <w:bCs/>
          <w:color w:val="auto"/>
          <w:sz w:val="20"/>
          <w:szCs w:val="20"/>
          <w:lang w:val="el-GR" w:eastAsia="zxx" w:bidi="ar-SA"/>
        </w:rPr>
      </w:pPr>
      <w:r>
        <w:rPr>
          <w:rFonts w:eastAsia="Times New Roman" w:cs="Trebuchet MS" w:ascii="Times New Roman" w:hAnsi="Times New Roman"/>
          <w:color w:val="auto"/>
          <w:sz w:val="20"/>
          <w:szCs w:val="20"/>
          <w:lang w:val="el-GR" w:eastAsia="zxx" w:bidi="ar-SA"/>
        </w:rPr>
        <w:t> </w:t>
      </w:r>
      <w:r>
        <w:rPr>
          <w:rFonts w:eastAsia="Times New Roman" w:cs="Trebuchet MS" w:ascii="Times New Roman" w:hAnsi="Times New Roman"/>
          <w:bCs/>
          <w:color w:val="auto"/>
          <w:sz w:val="20"/>
          <w:szCs w:val="20"/>
          <w:lang w:val="el-GR" w:eastAsia="zxx" w:bidi="ar-SA"/>
        </w:rPr>
        <w:t>Για την αναίρεση των μειονεκτικών συνθηκών εργασίας και ακαδημαϊκής λειτουργίας σε ακριτικές περιοχές, απαιτείται η υποστήριξη των διδασκόντων (ΔΕΠ+ΠΔ 407/80) ακριτικών πανεπιστημίων με βάση δύο κύριους άξονες:</w:t>
      </w:r>
    </w:p>
    <w:p>
      <w:pPr>
        <w:pStyle w:val="Default"/>
        <w:spacing w:before="0" w:after="0"/>
        <w:ind w:left="360" w:right="0" w:hanging="360"/>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color w:val="auto"/>
          <w:sz w:val="20"/>
          <w:szCs w:val="20"/>
          <w:lang w:val="el-GR" w:eastAsia="zxx" w:bidi="ar-SA"/>
        </w:rPr>
      </w:r>
    </w:p>
    <w:p>
      <w:pPr>
        <w:pStyle w:val="Default"/>
        <w:spacing w:before="0" w:after="0"/>
        <w:jc w:val="both"/>
        <w:rPr>
          <w:rFonts w:eastAsia="Times New Roman" w:cs="Trebuchet MS" w:ascii="Times New Roman" w:hAnsi="Times New Roman"/>
          <w:b/>
          <w:bCs/>
          <w:color w:val="auto"/>
          <w:sz w:val="20"/>
          <w:szCs w:val="20"/>
          <w:u w:val="single"/>
          <w:lang w:val="el-GR" w:eastAsia="zxx" w:bidi="ar-SA"/>
        </w:rPr>
      </w:pPr>
      <w:r>
        <w:rPr>
          <w:rFonts w:eastAsia="Times New Roman" w:cs="Trebuchet MS" w:ascii="Times New Roman" w:hAnsi="Times New Roman"/>
          <w:color w:val="auto"/>
          <w:sz w:val="20"/>
          <w:szCs w:val="20"/>
          <w:lang w:val="el-GR" w:eastAsia="zxx" w:bidi="ar-SA"/>
        </w:rPr>
        <w:t> </w:t>
      </w:r>
      <w:r>
        <w:rPr>
          <w:rFonts w:eastAsia="Times New Roman" w:cs="Trebuchet MS" w:ascii="Times New Roman" w:hAnsi="Times New Roman"/>
          <w:b/>
          <w:color w:val="auto"/>
          <w:sz w:val="20"/>
          <w:szCs w:val="20"/>
          <w:u w:val="single"/>
          <w:lang w:val="el-GR" w:eastAsia="zxx" w:bidi="ar-SA"/>
        </w:rPr>
        <w:t>Α)</w:t>
      </w:r>
      <w:r>
        <w:rPr>
          <w:rFonts w:eastAsia="Times New Roman" w:cs="Trebuchet MS" w:ascii="Times New Roman" w:hAnsi="Times New Roman"/>
          <w:color w:val="auto"/>
          <w:sz w:val="20"/>
          <w:szCs w:val="20"/>
          <w:u w:val="single"/>
          <w:lang w:val="el-GR" w:eastAsia="zxx" w:bidi="ar-SA"/>
        </w:rPr>
        <w:t xml:space="preserve"> </w:t>
      </w:r>
      <w:r>
        <w:rPr>
          <w:rFonts w:eastAsia="Times New Roman" w:cs="Trebuchet MS" w:ascii="Times New Roman" w:hAnsi="Times New Roman"/>
          <w:b/>
          <w:bCs/>
          <w:color w:val="auto"/>
          <w:sz w:val="20"/>
          <w:szCs w:val="20"/>
          <w:u w:val="single"/>
          <w:lang w:val="el-GR" w:eastAsia="zxx" w:bidi="ar-SA"/>
        </w:rPr>
        <w:t xml:space="preserve">Κάλυψη βασικών αναγκών, σύμφωνα με προβλέψεις και διατάξεις που ισχύουν για άλλες κατηγορίες εργαζομένων: </w:t>
      </w:r>
    </w:p>
    <w:p>
      <w:pPr>
        <w:pStyle w:val="Default"/>
        <w:spacing w:before="60" w:after="0"/>
        <w:ind w:left="1095" w:right="0" w:hanging="465"/>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color w:val="auto"/>
          <w:sz w:val="20"/>
          <w:szCs w:val="20"/>
          <w:lang w:val="el-GR" w:eastAsia="zxx" w:bidi="ar-SA"/>
        </w:rPr>
        <w:t xml:space="preserve">(i) </w:t>
      </w:r>
      <w:r>
        <w:rPr>
          <w:rFonts w:eastAsia="Times New Roman" w:cs="Trebuchet MS" w:ascii="Times New Roman" w:hAnsi="Times New Roman"/>
          <w:b/>
          <w:color w:val="auto"/>
          <w:sz w:val="20"/>
          <w:szCs w:val="20"/>
          <w:lang w:val="el-GR" w:eastAsia="zxx" w:bidi="ar-SA"/>
        </w:rPr>
        <w:t>Καταβολή «Επιδόματος Παραμεθορίου και Προβληματικών Περιοχών»</w:t>
      </w:r>
      <w:r>
        <w:rPr>
          <w:rFonts w:eastAsia="Times New Roman" w:cs="Trebuchet MS" w:ascii="Times New Roman" w:hAnsi="Times New Roman"/>
          <w:color w:val="auto"/>
          <w:sz w:val="20"/>
          <w:szCs w:val="20"/>
          <w:lang w:val="el-GR" w:eastAsia="zxx" w:bidi="ar-SA"/>
        </w:rPr>
        <w:t xml:space="preserve"> </w:t>
      </w:r>
      <w:r>
        <w:rPr>
          <w:rFonts w:eastAsia="Times New Roman" w:cs="Trebuchet MS" w:ascii="Times New Roman" w:hAnsi="Times New Roman"/>
          <w:bCs/>
          <w:color w:val="auto"/>
          <w:sz w:val="20"/>
          <w:szCs w:val="20"/>
          <w:lang w:val="el-GR" w:eastAsia="zxx" w:bidi="ar-SA"/>
        </w:rPr>
        <w:t xml:space="preserve">στα </w:t>
      </w:r>
      <w:r>
        <w:rPr>
          <w:rFonts w:eastAsia="Times New Roman" w:cs="Trebuchet MS" w:ascii="Times New Roman" w:hAnsi="Times New Roman"/>
          <w:color w:val="auto"/>
          <w:sz w:val="20"/>
          <w:szCs w:val="20"/>
          <w:lang w:val="el-GR" w:eastAsia="zxx" w:bidi="ar-SA"/>
        </w:rPr>
        <w:t xml:space="preserve">μέλη ΔΕΠ και διδάσκοντες με σύμβαση ΠΔ 407/80. Αιτούμε επίδομα ύψους </w:t>
      </w:r>
      <w:r>
        <w:rPr>
          <w:rStyle w:val="Style15"/>
          <w:rFonts w:eastAsia="Times New Roman" w:cs="Trebuchet MS" w:ascii="Times New Roman" w:hAnsi="Times New Roman"/>
          <w:b w:val="false"/>
          <w:bCs w:val="false"/>
          <w:color w:val="auto"/>
          <w:sz w:val="20"/>
          <w:szCs w:val="20"/>
          <w:lang w:val="el-GR" w:eastAsia="zxx" w:bidi="ar-SA"/>
        </w:rPr>
        <w:t xml:space="preserve">300 </w:t>
      </w:r>
      <w:r>
        <w:rPr>
          <w:rStyle w:val="Style15"/>
          <w:rFonts w:eastAsia="Times New Roman" w:cs="Trebuchet MS" w:ascii="Times New Roman" w:hAnsi="Times New Roman"/>
          <w:b w:val="false"/>
          <w:bCs w:val="false"/>
          <w:color w:val="auto"/>
          <w:sz w:val="20"/>
          <w:szCs w:val="20"/>
          <w:lang w:val="en-US" w:eastAsia="zxx" w:bidi="ar-SA"/>
        </w:rPr>
        <w:t>E</w:t>
      </w:r>
      <w:r>
        <w:rPr>
          <w:rStyle w:val="Style15"/>
          <w:rFonts w:eastAsia="Times New Roman" w:cs="Trebuchet MS" w:ascii="Times New Roman" w:hAnsi="Times New Roman"/>
          <w:b w:val="false"/>
          <w:bCs w:val="false"/>
          <w:color w:val="auto"/>
          <w:sz w:val="20"/>
          <w:szCs w:val="20"/>
          <w:lang w:val="el-GR" w:eastAsia="zxx" w:bidi="ar-SA"/>
        </w:rPr>
        <w:t xml:space="preserve">, </w:t>
      </w:r>
      <w:r>
        <w:rPr>
          <w:rFonts w:eastAsia="Times New Roman" w:cs="Trebuchet MS" w:ascii="Times New Roman" w:hAnsi="Times New Roman"/>
          <w:b w:val="false"/>
          <w:bCs w:val="false"/>
          <w:color w:val="auto"/>
          <w:sz w:val="20"/>
          <w:szCs w:val="20"/>
          <w:lang w:val="el-GR" w:eastAsia="zxx" w:bidi="ar-SA"/>
        </w:rPr>
        <w:t>γ</w:t>
      </w:r>
      <w:r>
        <w:rPr>
          <w:rFonts w:eastAsia="Times New Roman" w:cs="Trebuchet MS" w:ascii="Times New Roman" w:hAnsi="Times New Roman"/>
          <w:color w:val="auto"/>
          <w:sz w:val="20"/>
          <w:szCs w:val="20"/>
          <w:lang w:val="el-GR" w:eastAsia="zxx" w:bidi="ar-SA"/>
        </w:rPr>
        <w:t>ια όλες τις βαθμίδες μελών ΔΕΠ και διδασκόντων με σύμβαση ΠΔ 407/80.</w:t>
      </w:r>
    </w:p>
    <w:p>
      <w:pPr>
        <w:pStyle w:val="Default"/>
        <w:spacing w:before="60" w:after="0"/>
        <w:ind w:left="1095" w:right="0" w:hanging="480"/>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color w:val="auto"/>
          <w:sz w:val="20"/>
          <w:szCs w:val="20"/>
          <w:lang w:val="el-GR" w:eastAsia="zxx" w:bidi="ar-SA"/>
        </w:rPr>
        <w:t>(</w:t>
      </w:r>
      <w:r>
        <w:rPr>
          <w:rFonts w:eastAsia="Times New Roman" w:cs="Trebuchet MS" w:ascii="Times New Roman" w:hAnsi="Times New Roman"/>
          <w:color w:val="auto"/>
          <w:sz w:val="20"/>
          <w:szCs w:val="20"/>
          <w:lang w:val="en-US" w:eastAsia="zxx" w:bidi="ar-SA"/>
        </w:rPr>
        <w:t>ii</w:t>
      </w:r>
      <w:r>
        <w:rPr>
          <w:rFonts w:eastAsia="Times New Roman" w:cs="Trebuchet MS" w:ascii="Times New Roman" w:hAnsi="Times New Roman"/>
          <w:color w:val="auto"/>
          <w:sz w:val="20"/>
          <w:szCs w:val="20"/>
          <w:lang w:val="el-GR" w:eastAsia="zxx" w:bidi="ar-SA"/>
        </w:rPr>
        <w:t xml:space="preserve">) </w:t>
      </w:r>
      <w:r>
        <w:rPr>
          <w:rFonts w:eastAsia="Times New Roman" w:cs="Trebuchet MS" w:ascii="Times New Roman" w:hAnsi="Times New Roman"/>
          <w:b/>
          <w:bCs/>
          <w:color w:val="auto"/>
          <w:sz w:val="20"/>
          <w:szCs w:val="20"/>
          <w:lang w:val="el-GR" w:eastAsia="zxx" w:bidi="ar-SA"/>
        </w:rPr>
        <w:t xml:space="preserve">Ενίσχυση του τακτικού προϋπολογισμού των ακριτικών πανεπιστημιακών </w:t>
      </w:r>
      <w:r>
        <w:rPr>
          <w:rFonts w:eastAsia="Times New Roman" w:cs="Trebuchet MS" w:ascii="Times New Roman" w:hAnsi="Times New Roman"/>
          <w:color w:val="auto"/>
          <w:sz w:val="20"/>
          <w:szCs w:val="20"/>
          <w:lang w:val="el-GR" w:eastAsia="zxx" w:bidi="ar-SA"/>
        </w:rPr>
        <w:t xml:space="preserve">ιδρυμάτων ώστε να μπορούν να ανταπεξέλθουν στην καταβολή της επιδότησης απόκτησης κατοικίας (αγοράς ή κατασκευής), που ισχύει ήδη (αλλά χωρίς πρόβλεψη στον τακτικό προϋπολογισμό). </w:t>
      </w:r>
    </w:p>
    <w:p>
      <w:pPr>
        <w:pStyle w:val="Default"/>
        <w:spacing w:before="0" w:after="0"/>
        <w:ind w:left="360" w:right="0" w:hanging="360"/>
        <w:jc w:val="both"/>
        <w:rPr>
          <w:rFonts w:eastAsia="Times New Roman" w:cs="Trebuchet MS" w:ascii="Times New Roman" w:hAnsi="Times New Roman"/>
          <w:b/>
          <w:bCs/>
          <w:color w:val="auto"/>
          <w:sz w:val="20"/>
          <w:szCs w:val="20"/>
          <w:u w:val="single"/>
          <w:lang w:val="el-GR" w:eastAsia="zxx" w:bidi="ar-SA"/>
        </w:rPr>
      </w:pPr>
      <w:r>
        <w:rPr>
          <w:rFonts w:eastAsia="Times New Roman" w:cs="Trebuchet MS" w:ascii="Times New Roman" w:hAnsi="Times New Roman"/>
          <w:b/>
          <w:color w:val="auto"/>
          <w:sz w:val="20"/>
          <w:szCs w:val="20"/>
          <w:u w:val="single"/>
          <w:lang w:val="el-GR" w:eastAsia="zxx" w:bidi="ar-SA"/>
        </w:rPr>
        <w:t xml:space="preserve">Β) </w:t>
      </w:r>
      <w:r>
        <w:rPr>
          <w:rFonts w:eastAsia="Times New Roman" w:cs="Trebuchet MS" w:ascii="Times New Roman" w:hAnsi="Times New Roman"/>
          <w:b/>
          <w:bCs/>
          <w:color w:val="auto"/>
          <w:sz w:val="20"/>
          <w:szCs w:val="20"/>
          <w:u w:val="single"/>
          <w:lang w:val="el-GR" w:eastAsia="zxx" w:bidi="ar-SA"/>
        </w:rPr>
        <w:t>Επιπρόσθετα κίνητρα εγκατάστασης και διαμονής:</w:t>
      </w:r>
    </w:p>
    <w:p>
      <w:pPr>
        <w:pStyle w:val="Default"/>
        <w:tabs>
          <w:tab w:val="left" w:pos="3725" w:leader="none"/>
        </w:tabs>
        <w:spacing w:before="60" w:after="0"/>
        <w:ind w:left="1125" w:right="0" w:hanging="525"/>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b w:val="false"/>
          <w:bCs w:val="false"/>
          <w:color w:val="auto"/>
          <w:sz w:val="20"/>
          <w:szCs w:val="20"/>
          <w:lang w:val="el-GR" w:eastAsia="zxx" w:bidi="ar-SA"/>
        </w:rPr>
        <w:t xml:space="preserve">(iii) </w:t>
      </w:r>
      <w:r>
        <w:rPr>
          <w:rFonts w:eastAsia="Times New Roman" w:cs="Trebuchet MS" w:ascii="Times New Roman" w:hAnsi="Times New Roman"/>
          <w:b/>
          <w:color w:val="auto"/>
          <w:sz w:val="20"/>
          <w:szCs w:val="20"/>
          <w:lang w:val="el-GR" w:eastAsia="zxx" w:bidi="ar-SA"/>
        </w:rPr>
        <w:t>Υποστήριξη Μετοικεσίας μελών ΔΕΠ ή Αρχικής Εγκατάστασης,</w:t>
      </w:r>
      <w:r>
        <w:rPr>
          <w:rFonts w:eastAsia="Times New Roman" w:cs="Trebuchet MS" w:ascii="Times New Roman" w:hAnsi="Times New Roman"/>
          <w:color w:val="auto"/>
          <w:sz w:val="20"/>
          <w:szCs w:val="20"/>
          <w:lang w:val="el-GR" w:eastAsia="zxx" w:bidi="ar-SA"/>
        </w:rPr>
        <w:t xml:space="preserve"> από οποιοδήποτε αρχικό τόπο διαμονής (από το εξωτερικό ή το εσωτερικό της Ελλάδας) εφόσον είναι διαφορετικός από αυτόν του τόπου εγκατάστασης ως μέλος ΔΕΠ σε Τμήμα του Πανεπιστημίου Αιγαίου. Περιλαμβάνει «Κόστος μεταφοράς οικοσυσκευής», «Έξοδα εγκατάστασης» (ποσό ίσο με δύο βασικούς μηνιαίους μισθούς, προσαυξημένο κατά μισό βασικό μηνιαίο μισθό, ανά μέλος οικογένειας), και «έξοδα ταξιδίου» (π.χ. αεροπορικά εισιτήρια απλής μετάβασης).</w:t>
      </w:r>
    </w:p>
    <w:p>
      <w:pPr>
        <w:pStyle w:val="Default"/>
        <w:tabs>
          <w:tab w:val="left" w:pos="4115" w:leader="none"/>
        </w:tabs>
        <w:spacing w:before="60" w:after="0"/>
        <w:ind w:left="1320" w:right="0" w:hanging="0"/>
        <w:jc w:val="both"/>
        <w:rPr>
          <w:rFonts w:eastAsia="Times New Roman" w:cs="Times New Roman" w:ascii="Times New Roman" w:hAnsi="Times New Roman"/>
          <w:color w:val="auto"/>
          <w:sz w:val="24"/>
          <w:szCs w:val="24"/>
          <w:lang w:val="el-GR" w:eastAsia="zxx" w:bidi="ar-SA"/>
        </w:rPr>
      </w:pPr>
      <w:r>
        <w:rPr>
          <w:rFonts w:eastAsia="Times New Roman" w:cs="Times New Roman" w:ascii="Times New Roman" w:hAnsi="Times New Roman"/>
          <w:color w:val="auto"/>
          <w:sz w:val="24"/>
          <w:szCs w:val="24"/>
          <w:lang w:val="el-GR" w:eastAsia="zxx" w:bidi="ar-SA"/>
        </w:rPr>
      </w:r>
    </w:p>
    <w:p>
      <w:pPr>
        <w:pStyle w:val="Normal"/>
        <w:rPr>
          <w:rStyle w:val="Style15"/>
          <w:rFonts w:cs="Trebuchet MS" w:ascii="Times New Roman" w:hAnsi="Times New Roman"/>
          <w:sz w:val="22"/>
          <w:szCs w:val="22"/>
        </w:rPr>
      </w:pPr>
      <w:r>
        <w:rPr>
          <w:rStyle w:val="Style15"/>
          <w:rFonts w:cs="Trebuchet MS" w:ascii="Times New Roman" w:hAnsi="Times New Roman"/>
          <w:sz w:val="22"/>
          <w:szCs w:val="22"/>
        </w:rPr>
        <w:t>ΣΥΝΤΟΜΗ ΑΙΤΙΟΛΟΓΗΣΗ</w:t>
      </w:r>
    </w:p>
    <w:p>
      <w:pPr>
        <w:pStyle w:val="Normal"/>
        <w:ind w:left="1095" w:right="0" w:hanging="510"/>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b w:val="false"/>
          <w:bCs w:val="false"/>
          <w:color w:val="auto"/>
          <w:sz w:val="20"/>
          <w:szCs w:val="20"/>
          <w:lang w:val="el-GR" w:eastAsia="zxx" w:bidi="ar-SA"/>
        </w:rPr>
        <w:t>(i)</w:t>
      </w:r>
      <w:r>
        <w:rPr>
          <w:rFonts w:eastAsia="Times New Roman" w:cs="Trebuchet MS" w:ascii="Times New Roman" w:hAnsi="Times New Roman"/>
          <w:b/>
          <w:bCs/>
          <w:color w:val="auto"/>
          <w:sz w:val="20"/>
          <w:szCs w:val="20"/>
          <w:lang w:val="el-GR" w:eastAsia="zxx" w:bidi="ar-SA"/>
        </w:rPr>
        <w:t xml:space="preserve"> Επίδομα Παραμεθορίου και Προβληματικών Περιοχών:</w:t>
      </w:r>
      <w:r>
        <w:rPr>
          <w:rFonts w:eastAsia="Times New Roman" w:cs="Trebuchet MS" w:ascii="Times New Roman" w:hAnsi="Times New Roman"/>
          <w:color w:val="auto"/>
          <w:sz w:val="20"/>
          <w:szCs w:val="20"/>
          <w:lang w:val="el-GR" w:eastAsia="zxx" w:bidi="ar-SA"/>
        </w:rPr>
        <w:t xml:space="preserve"> Το επίδομα αυτό, το λάμβαναν οι διδάσκοντες ακριτικών πανεπιστημίων μέχρι το 1997. Διακόπηκε το 1997 και αναφέρεται στο νόμο, ότι θα εκδοθεί ειδικό Προεδρικό Διάταγμα [Ν 2530/97, άρθρο 24), για «παροχή κινήτρων» στα μέλη ΔΕΠ ακριτικών πανεπιστημίων. Το προεδρικό αυτό διάταγμα βρίσκεται ακόμα σε εκκρεμότητα.</w:t>
      </w:r>
    </w:p>
    <w:p>
      <w:pPr>
        <w:pStyle w:val="Normal"/>
        <w:ind w:left="1080" w:right="0" w:hanging="0"/>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color w:val="auto"/>
          <w:sz w:val="20"/>
          <w:szCs w:val="20"/>
          <w:lang w:val="el-GR" w:eastAsia="zxx" w:bidi="ar-SA"/>
        </w:rPr>
        <w:t xml:space="preserve">Παρόμοια οικονομική παροχή σε μορφή επιδόματος «Παραμεθορίου και Προβληματικών περιοχών» λαμβάνουν όλοι οι δημόσιοι υπάλληλοι. Επίσης το ειδικό αυτό επίδομα λαμβάνουν οι Διοικητικοί υπάλληλοι του Πανεπιστημίου Αιγαίου. </w:t>
      </w:r>
    </w:p>
    <w:p>
      <w:pPr>
        <w:pStyle w:val="Normal"/>
        <w:ind w:left="1080" w:right="0" w:hanging="0"/>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color w:val="auto"/>
          <w:sz w:val="20"/>
          <w:szCs w:val="20"/>
          <w:lang w:val="el-GR" w:eastAsia="zxx" w:bidi="ar-SA"/>
        </w:rPr>
        <w:t>Παράλληλα, ας σημειωθεί ότι και όλοι οι άλλοι εργαζόμενοι σε ακριτικές περιοχές έχουν ειδική μεταχείριση προκειμένου να ισοσκελιστούν τα προβλήματα παραμεθορίου (π.χ. οι επαγγελματίες έχουν μειωμένο ΦΠΑ).</w:t>
      </w:r>
    </w:p>
    <w:p>
      <w:pPr>
        <w:pStyle w:val="Normal"/>
        <w:spacing w:before="120" w:after="0"/>
        <w:ind w:left="1095" w:right="0" w:hanging="495"/>
        <w:jc w:val="both"/>
        <w:rPr>
          <w:rFonts w:eastAsia="Times New Roman" w:cs="Trebuchet MS" w:ascii="Times New Roman" w:hAnsi="Times New Roman"/>
          <w:color w:val="000000"/>
          <w:sz w:val="20"/>
          <w:szCs w:val="20"/>
          <w:shd w:fill="auto" w:val="clear"/>
          <w:lang w:val="el-GR" w:eastAsia="zxx" w:bidi="ar-SA"/>
        </w:rPr>
      </w:pPr>
      <w:r>
        <w:rPr>
          <w:rStyle w:val="Style15"/>
          <w:rFonts w:eastAsia="Times New Roman" w:cs="Trebuchet MS" w:ascii="Times New Roman" w:hAnsi="Times New Roman"/>
          <w:b w:val="false"/>
          <w:bCs w:val="false"/>
          <w:color w:val="000000"/>
          <w:sz w:val="20"/>
          <w:szCs w:val="20"/>
          <w:lang w:val="el-GR" w:eastAsia="zxx" w:bidi="ar-SA"/>
        </w:rPr>
        <w:t>(ii)</w:t>
      </w:r>
      <w:r>
        <w:rPr>
          <w:rStyle w:val="Style15"/>
          <w:rFonts w:eastAsia="Times New Roman" w:cs="Trebuchet MS" w:ascii="Times New Roman" w:hAnsi="Times New Roman"/>
          <w:color w:val="000000"/>
          <w:sz w:val="20"/>
          <w:szCs w:val="20"/>
          <w:lang w:val="el-GR" w:eastAsia="zxx" w:bidi="ar-SA"/>
        </w:rPr>
        <w:t xml:space="preserve"> Η επιδότηση αγοράς κατοικίας</w:t>
      </w:r>
      <w:r>
        <w:rPr>
          <w:rFonts w:eastAsia="Times New Roman" w:cs="Trebuchet MS" w:ascii="Times New Roman" w:hAnsi="Times New Roman"/>
          <w:color w:val="000000"/>
          <w:sz w:val="20"/>
          <w:szCs w:val="20"/>
          <w:lang w:val="el-GR" w:eastAsia="zxx" w:bidi="ar-SA"/>
        </w:rPr>
        <w:t xml:space="preserve"> παρέχεται για παράδειγμα στους εκπαιδευτικούς της Δημόσιας Εκπαίδευσης όλων των βαθμίδων εφόσον τοποθετηθούν η μετατεθούν στην προβληματική περιοχή (οι Νομοί Λέσβου, Χίου, Σάμου, Δωδεκανήσου έχουν καθορισθεί ως προβληματικές περιοχέ</w:t>
      </w:r>
      <w:r>
        <w:rPr>
          <w:rFonts w:eastAsia="Times New Roman" w:cs="Trebuchet MS" w:ascii="Times New Roman" w:hAnsi="Times New Roman"/>
          <w:color w:val="000000"/>
          <w:sz w:val="20"/>
          <w:szCs w:val="20"/>
          <w:shd w:fill="auto" w:val="clear"/>
          <w:lang w:val="el-GR" w:eastAsia="zxx" w:bidi="ar-SA"/>
        </w:rPr>
        <w:t>ς).</w:t>
      </w:r>
    </w:p>
    <w:p>
      <w:pPr>
        <w:pStyle w:val="Normal"/>
        <w:ind w:left="1095" w:right="0" w:hanging="0"/>
        <w:jc w:val="both"/>
        <w:rPr>
          <w:rFonts w:eastAsia="Times New Roman" w:cs="Trebuchet MS" w:ascii="Times New Roman" w:hAnsi="Times New Roman"/>
          <w:color w:val="000000"/>
          <w:sz w:val="20"/>
          <w:szCs w:val="20"/>
          <w:lang w:val="el-GR" w:eastAsia="zxx" w:bidi="ar-SA"/>
        </w:rPr>
      </w:pPr>
      <w:r>
        <w:rPr>
          <w:rFonts w:eastAsia="Times New Roman" w:cs="Trebuchet MS" w:ascii="Times New Roman" w:hAnsi="Times New Roman"/>
          <w:color w:val="000000"/>
          <w:sz w:val="20"/>
          <w:szCs w:val="20"/>
          <w:lang w:val="el-GR" w:eastAsia="zxx" w:bidi="ar-SA"/>
        </w:rPr>
        <w:t xml:space="preserve">Οι ανωτέρω, εφόσον μετά από 5ετή παραμονή στην προβληματική περιοχή δηλώσουν ότι επιθυμούν να παραμείνουν στην ίδια περιοχή για μια ακόμη δεκαετία και προβούν στην αγορά κατοικίας στην περιοχή αυτή, απολαμβάνουν της καταβολής του 40% της αξίας, όπως αυτή καθορίζεται από την αρμόδια φορολογική αρχή. </w:t>
      </w:r>
    </w:p>
    <w:p>
      <w:pPr>
        <w:pStyle w:val="Normal"/>
        <w:ind w:left="1095" w:right="0" w:hanging="0"/>
        <w:jc w:val="both"/>
        <w:rPr>
          <w:rFonts w:eastAsia="Times New Roman" w:cs="Trebuchet MS" w:ascii="Times New Roman" w:hAnsi="Times New Roman"/>
          <w:color w:val="000000"/>
          <w:sz w:val="20"/>
          <w:szCs w:val="20"/>
          <w:lang w:val="el-GR" w:eastAsia="zxx" w:bidi="ar-SA"/>
        </w:rPr>
      </w:pPr>
      <w:r>
        <w:rPr>
          <w:rFonts w:eastAsia="Times New Roman" w:cs="Trebuchet MS" w:ascii="Times New Roman" w:hAnsi="Times New Roman"/>
          <w:color w:val="000000"/>
          <w:sz w:val="20"/>
          <w:szCs w:val="20"/>
          <w:lang w:val="el-GR" w:eastAsia="zxx" w:bidi="ar-SA"/>
        </w:rPr>
        <w:t>Τα πανεπιστημιακά ιδρύματα ακριτικών περιοχών οφείλουν σύμφωνα με τον νόμο να καταβάλλουν τα αντίστοιχα ποσά, όμως αδυνατούν λόγω μη επαρκούς τακτικού προϋπολογισμού.</w:t>
      </w:r>
    </w:p>
    <w:p>
      <w:pPr>
        <w:pStyle w:val="Normal"/>
        <w:ind w:left="1095" w:right="0" w:hanging="0"/>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color w:val="auto"/>
          <w:sz w:val="20"/>
          <w:szCs w:val="20"/>
          <w:lang w:val="el-GR" w:eastAsia="zxx" w:bidi="ar-SA"/>
        </w:rPr>
      </w:r>
    </w:p>
    <w:p>
      <w:pPr>
        <w:pStyle w:val="Normal"/>
        <w:ind w:left="1110" w:right="0" w:hanging="495"/>
        <w:jc w:val="both"/>
        <w:rPr>
          <w:rFonts w:eastAsia="Times New Roman" w:cs="Trebuchet MS" w:ascii="Times New Roman" w:hAnsi="Times New Roman"/>
          <w:color w:val="auto"/>
          <w:sz w:val="20"/>
          <w:szCs w:val="20"/>
          <w:lang w:val="el-GR" w:eastAsia="zxx" w:bidi="ar-SA"/>
        </w:rPr>
      </w:pPr>
      <w:r>
        <w:rPr>
          <w:rFonts w:eastAsia="Times New Roman" w:cs="Trebuchet MS" w:ascii="Times New Roman" w:hAnsi="Times New Roman"/>
          <w:b w:val="false"/>
          <w:bCs w:val="false"/>
          <w:color w:val="auto"/>
          <w:sz w:val="20"/>
          <w:szCs w:val="20"/>
          <w:lang w:val="el-GR" w:eastAsia="zxx" w:bidi="ar-SA"/>
        </w:rPr>
        <w:t>(</w:t>
      </w:r>
      <w:r>
        <w:rPr>
          <w:rFonts w:eastAsia="Times New Roman" w:cs="Trebuchet MS" w:ascii="Times New Roman" w:hAnsi="Times New Roman"/>
          <w:b w:val="false"/>
          <w:bCs w:val="false"/>
          <w:color w:val="auto"/>
          <w:sz w:val="20"/>
          <w:szCs w:val="20"/>
          <w:lang w:val="en-US" w:eastAsia="zxx" w:bidi="ar-SA"/>
        </w:rPr>
        <w:t>iii</w:t>
      </w:r>
      <w:r>
        <w:rPr>
          <w:rFonts w:eastAsia="Times New Roman" w:cs="Trebuchet MS" w:ascii="Times New Roman" w:hAnsi="Times New Roman"/>
          <w:b w:val="false"/>
          <w:bCs w:val="false"/>
          <w:color w:val="auto"/>
          <w:sz w:val="20"/>
          <w:szCs w:val="20"/>
          <w:lang w:val="el-GR" w:eastAsia="zxx" w:bidi="ar-SA"/>
        </w:rPr>
        <w:t>)</w:t>
      </w:r>
      <w:r>
        <w:rPr>
          <w:rFonts w:eastAsia="Times New Roman" w:cs="Trebuchet MS" w:ascii="Times New Roman" w:hAnsi="Times New Roman"/>
          <w:b/>
          <w:color w:val="auto"/>
          <w:sz w:val="20"/>
          <w:szCs w:val="20"/>
          <w:lang w:val="el-GR" w:eastAsia="zxx" w:bidi="ar-SA"/>
        </w:rPr>
        <w:t xml:space="preserve"> Επιπρόσθετα κίνητρα Εγκατάστασης/ Υποστήριξη Αρχικής Εγκατάστασης</w:t>
      </w:r>
      <w:r>
        <w:rPr>
          <w:rFonts w:eastAsia="Times New Roman" w:cs="Trebuchet MS" w:ascii="Times New Roman" w:hAnsi="Times New Roman"/>
          <w:color w:val="auto"/>
          <w:sz w:val="20"/>
          <w:szCs w:val="20"/>
          <w:lang w:val="el-GR" w:eastAsia="zxx" w:bidi="ar-SA"/>
        </w:rPr>
        <w:t xml:space="preserve">: </w:t>
      </w:r>
    </w:p>
    <w:p>
      <w:pPr>
        <w:pStyle w:val="Normal"/>
        <w:spacing w:before="0" w:after="0"/>
        <w:ind w:left="1110" w:right="0" w:hanging="0"/>
        <w:jc w:val="both"/>
        <w:rPr>
          <w:rFonts w:eastAsia="Times New Roman" w:cs="Trebuchet MS" w:ascii="Times New Roman" w:hAnsi="Times New Roman"/>
          <w:color w:val="auto"/>
          <w:sz w:val="20"/>
          <w:szCs w:val="20"/>
          <w:shd w:fill="auto" w:val="clear"/>
          <w:lang w:val="el-GR" w:eastAsia="zxx" w:bidi="ar-SA"/>
        </w:rPr>
      </w:pPr>
      <w:r>
        <w:rPr>
          <w:rFonts w:eastAsia="Times New Roman" w:cs="Trebuchet MS" w:ascii="Times New Roman" w:hAnsi="Times New Roman"/>
          <w:color w:val="auto"/>
          <w:sz w:val="20"/>
          <w:szCs w:val="20"/>
          <w:shd w:fill="auto" w:val="clear"/>
          <w:lang w:val="en-US" w:eastAsia="zxx" w:bidi="ar-SA"/>
        </w:rPr>
        <w:t>H</w:t>
      </w:r>
      <w:bookmarkEnd w:id="0"/>
      <w:r>
        <w:rPr>
          <w:rFonts w:eastAsia="Times New Roman" w:cs="Trebuchet MS" w:ascii="Times New Roman" w:hAnsi="Times New Roman"/>
          <w:color w:val="auto"/>
          <w:sz w:val="20"/>
          <w:szCs w:val="20"/>
          <w:shd w:fill="auto" w:val="clear"/>
          <w:lang w:val="el-GR" w:eastAsia="zxx" w:bidi="ar-SA"/>
        </w:rPr>
        <w:t xml:space="preserve"> Πολιτεία έχει αναγνωρίσει την ανάγκη παροχής κινήτρων σε μέλη ΔΕΠ προκειμένου να εργαστούν σε ακριτικά πανεπιστήμια. Ένα από τα κίνητρα αυτά, συνιστά η χορήγηση των εξόδων αρχικής εγκατάστασης. Επί του παρόντος, η χορήγηση των εξόδων αρχικής εγκατάστασης ισχύει μόνο για την περίπτωση μετοικεσίας μελών ΔΕΠ από το εξωτερικό (εφόσον υπογράψουν δήλωση ότι δε θα αποχωρήσουν από το εν λόγω ίδρυμα, πριν συμπληρώσουν τριετή υπηρεσία σε αυτό). Το αίτημα αφορά την επέκταση της χορήγησης των εξόδων εγκατάστασης και για τα μέλη ΔΕΠ, που είχαν πρότερο τόπο μόνιμης διαμονής οποιαδήποτε πόλη της Ελλάδας, εφόσον είναι διαφορετική από την πόλη - έδρα του Τμήματος στο οποίο καταλαμβάνουν θέση μέλους ΔΕΠ.</w:t>
      </w:r>
    </w:p>
    <w:sectPr>
      <w:headerReference w:type="default" r:id="rId2"/>
      <w:type w:val="nextPage"/>
      <w:pgSz w:w="11906" w:h="16838"/>
      <w:pgMar w:left="1474" w:right="1474" w:header="1134" w:top="1673"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rebuchet MS">
    <w:charset w:val="01"/>
    <w:family w:val="swiss"/>
    <w:pitch w:val="default"/>
  </w:font>
  <w:font w:name="Times New Roman">
    <w:charset w:val="01"/>
    <w:family w:val="roman"/>
    <w:pitch w:val="variable"/>
  </w:font>
  <w:font w:name="Symbol">
    <w:charset w:val="02"/>
    <w:family w:val="auto"/>
    <w:pitch w:val="fixed"/>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1"/>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settings>
</file>

<file path=word/styles.xml><?xml version="1.0" encoding="utf-8"?>
<w:styles xmlns:w="http://schemas.openxmlformats.org/wordprocessingml/2006/main">
  <w:docDefaults>
    <w:rPrDefault>
      <w:rPr>
        <w:rFonts w:ascii="Trebuchet MS" w:hAnsi="Trebuchet MS" w:eastAsia="Droid Sans Fallback" w:cs="FreeSans"/>
        <w:sz w:val="22"/>
        <w:szCs w:val="24"/>
        <w:lang w:val="el-GR" w:eastAsia="zh-CN" w:bidi="hi-IN"/>
      </w:rPr>
    </w:rPrDefault>
    <w:pPrDefault>
      <w:pPr/>
    </w:pPrDefault>
  </w:docDefaults>
  <w:style w:type="paragraph" w:styleId="Normal">
    <w:name w:val="Normal"/>
    <w:pPr>
      <w:widowControl w:val="false"/>
      <w:suppressAutoHyphens w:val="true"/>
    </w:pPr>
    <w:rPr>
      <w:rFonts w:ascii="Trebuchet MS" w:hAnsi="Trebuchet MS" w:eastAsia="Droid Sans Fallback" w:cs="FreeSans"/>
      <w:color w:val="auto"/>
      <w:sz w:val="22"/>
      <w:szCs w:val="24"/>
      <w:lang w:val="el-GR" w:eastAsia="zh-CN" w:bidi="hi-IN"/>
    </w:rPr>
  </w:style>
  <w:style w:type="character" w:styleId="ListLabel1">
    <w:name w:val="ListLabel 1"/>
    <w:rPr>
      <w:rFonts w:cs="Symbol"/>
    </w:rPr>
  </w:style>
  <w:style w:type="character" w:styleId="ListLabel2">
    <w:name w:val="ListLabel 2"/>
    <w:rPr>
      <w:rFonts w:cs="OpenSymbol"/>
    </w:rPr>
  </w:style>
  <w:style w:type="character" w:styleId="DefaultParagraphFont">
    <w:name w:val="Default Paragraph Font"/>
    <w:rPr/>
  </w:style>
  <w:style w:type="character" w:styleId="Strong">
    <w:name w:val="Strong"/>
    <w:basedOn w:val="DefaultParagraphFont"/>
    <w:rPr>
      <w:b/>
      <w:bCs/>
    </w:rPr>
  </w:style>
  <w:style w:type="character" w:styleId="Style14">
    <w:name w:val="Προεπιλεγμένη γραμματοσειρά"/>
    <w:rPr/>
  </w:style>
  <w:style w:type="character" w:styleId="Style15">
    <w:name w:val="Έντονη έμφαση"/>
    <w:basedOn w:val="Style14"/>
    <w:rPr>
      <w:b/>
      <w:bCs/>
    </w:rPr>
  </w:style>
  <w:style w:type="paragraph" w:styleId="Style16">
    <w:name w:val="Επικεφαλίδα"/>
    <w:basedOn w:val="Normal"/>
    <w:next w:val="Style17"/>
    <w:pPr>
      <w:keepNext/>
      <w:spacing w:before="240" w:after="120"/>
    </w:pPr>
    <w:rPr>
      <w:rFonts w:ascii="Trebuchet MS" w:hAnsi="Trebuchet MS" w:eastAsia="Droid Sans Fallback" w:cs="FreeSans"/>
      <w:sz w:val="28"/>
      <w:szCs w:val="28"/>
    </w:rPr>
  </w:style>
  <w:style w:type="paragraph" w:styleId="Style17">
    <w:name w:val="Σώμα κειμένου"/>
    <w:basedOn w:val="Normal"/>
    <w:pPr>
      <w:spacing w:lineRule="auto" w:line="288" w:before="0" w:after="140"/>
    </w:pPr>
    <w:rPr/>
  </w:style>
  <w:style w:type="paragraph" w:styleId="Style18">
    <w:name w:val="Λίστα"/>
    <w:basedOn w:val="Style17"/>
    <w:pPr/>
    <w:rPr>
      <w:rFonts w:ascii="Trebuchet MS" w:hAnsi="Trebuchet MS" w:cs="FreeSans"/>
      <w:sz w:val="24"/>
    </w:rPr>
  </w:style>
  <w:style w:type="paragraph" w:styleId="Style19">
    <w:name w:val="Υπόμνημα"/>
    <w:basedOn w:val="Normal"/>
    <w:pPr>
      <w:suppressLineNumbers/>
      <w:spacing w:before="120" w:after="120"/>
    </w:pPr>
    <w:rPr>
      <w:rFonts w:ascii="Trebuchet MS" w:hAnsi="Trebuchet MS" w:cs="FreeSans"/>
      <w:i/>
      <w:iCs/>
      <w:sz w:val="24"/>
      <w:szCs w:val="24"/>
    </w:rPr>
  </w:style>
  <w:style w:type="paragraph" w:styleId="Style20">
    <w:name w:val="Ευρετήριο"/>
    <w:basedOn w:val="Normal"/>
    <w:pPr>
      <w:suppressLineNumbers/>
    </w:pPr>
    <w:rPr>
      <w:rFonts w:ascii="Trebuchet MS" w:hAnsi="Trebuchet MS" w:cs="FreeSans"/>
      <w:sz w:val="24"/>
    </w:rPr>
  </w:style>
  <w:style w:type="paragraph" w:styleId="Style21">
    <w:name w:val="Κεφαλίδα"/>
    <w:basedOn w:val="Normal"/>
    <w:pPr>
      <w:suppressLineNumbers/>
      <w:tabs>
        <w:tab w:val="center" w:pos="4479" w:leader="none"/>
        <w:tab w:val="right" w:pos="8958" w:leader="none"/>
      </w:tabs>
    </w:pPr>
    <w:rPr/>
  </w:style>
  <w:style w:type="paragraph" w:styleId="Default">
    <w:name w:val="default"/>
    <w:basedOn w:val="Normal"/>
    <w:pPr>
      <w:spacing w:before="280" w:after="28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1551</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2018-05-07T18:58:14Z</dcterms:created>
  <dc:language>el-GR</dc:language>
  <dcterms:modified xsi:type="dcterms:W3CDTF">2018-05-07T19:26:59Z</dcterms:modified>
  <cp:revision>2</cp:revision>
</cp:coreProperties>
</file>