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15" w:lineRule="atLeast"/>
        <w:jc w:val="center"/>
      </w:pPr>
      <w:r>
        <w:rPr>
          <w:b/>
          <w:color w:val="000000"/>
        </w:rPr>
        <w:t>Συνοπτική παρουσίαση προσφορών</w:t>
      </w:r>
    </w:p>
    <w:p>
      <w:pPr>
        <w:pStyle w:val="style0"/>
        <w:spacing w:after="0" w:before="0" w:line="115" w:lineRule="atLeast"/>
        <w:jc w:val="center"/>
      </w:pPr>
      <w:r>
        <w:rPr/>
      </w:r>
    </w:p>
    <w:p>
      <w:pPr>
        <w:pStyle w:val="style0"/>
        <w:spacing w:after="0" w:before="0" w:line="115" w:lineRule="atLeast"/>
        <w:jc w:val="center"/>
      </w:pPr>
      <w:bookmarkStart w:id="0" w:name="__DdeLink__358_323167463"/>
      <w:bookmarkEnd w:id="0"/>
      <w:r>
        <w:rPr>
          <w:b w:val="false"/>
          <w:bCs w:val="false"/>
          <w:i/>
          <w:iCs/>
          <w:color w:val="000000"/>
        </w:rPr>
        <w:t>Δείτε αναλυτικά τη προσφορά κάθε γραφείου: https://forum.aegean.gr/viewtopic.php?f=13&amp;t=18978</w:t>
      </w:r>
    </w:p>
    <w:p>
      <w:pPr>
        <w:pStyle w:val="style0"/>
        <w:spacing w:after="0" w:before="0" w:line="115" w:lineRule="atLeast"/>
      </w:pPr>
      <w:r>
        <w:rPr/>
      </w:r>
    </w:p>
    <w:tbl>
      <w:tblPr>
        <w:jc w:val="left"/>
        <w:tblInd w:type="dxa" w:w="-547"/>
        <w:tblBorders/>
      </w:tblPr>
      <w:tblGrid>
        <w:gridCol w:w="3230"/>
        <w:gridCol w:w="3539"/>
        <w:gridCol w:w="4676"/>
        <w:gridCol w:w="2984"/>
      </w:tblGrid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color w:val="FF0000"/>
              </w:rPr>
              <w:t>Δικηγορικό γραφείο (αλφαβητικά)</w:t>
            </w:r>
          </w:p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color w:val="FF0000"/>
              </w:rPr>
              <w:t xml:space="preserve">Αμοιβή </w:t>
            </w:r>
            <w:r>
              <w:rPr>
                <w:rFonts w:cs="Segoe UI"/>
                <w:b/>
                <w:color w:val="FF0000"/>
              </w:rPr>
              <w:t>μ</w:t>
            </w:r>
            <w:r>
              <w:rPr>
                <w:rFonts w:cs="Segoe UI" w:eastAsia="Calibri"/>
                <w:b/>
                <w:color w:val="FF0000"/>
              </w:rPr>
              <w:t>ε την κατάθεση της αγωγής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color w:val="FF0000"/>
              </w:rPr>
              <w:t>Αμοιβή σε περίπτωση ευδοκίμησης της αγωγής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20" w:val="left"/>
              </w:tabs>
              <w:suppressAutoHyphens w:val="true"/>
              <w:spacing w:after="200" w:before="0" w:line="276" w:lineRule="auto"/>
            </w:pPr>
            <w:r>
              <w:rPr>
                <w:b/>
                <w:color w:val="FF0000"/>
              </w:rPr>
              <w:t>Αμοιβή σε πιθανή εκδίκαση της έφεσης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Κ. Αϊβαλιώτης &amp; Συνεργάτες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159,90 €</w:t>
              <w:br/>
              <w:t>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Καμία αμοιβή (συμπεριλαμβάνεται στην αμοιβή κατάθεσης)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Καμία αμοιβή (συμπεριλαμβάνεται στην αμοιβή κατάθεσης)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15" w:lineRule="atLeast"/>
            </w:pPr>
            <w:r>
              <w:rPr>
                <w:b/>
                <w:bCs/>
                <w:color w:val="000000"/>
              </w:rPr>
              <w:t>Γ. Αλεξανδρόπουλος - Θ. Οικονομίδου &amp; Συνεργάτες</w:t>
            </w:r>
          </w:p>
          <w:p>
            <w:pPr>
              <w:pStyle w:val="style0"/>
              <w:spacing w:after="0" w:before="0" w:line="115" w:lineRule="atLeast"/>
            </w:pPr>
            <w:r>
              <w:rPr/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50 € πλέον Φ.Π.Α.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numPr>
                <w:ilvl w:val="0"/>
                <w:numId w:val="1"/>
              </w:numPr>
              <w:spacing w:after="28" w:before="0"/>
              <w:ind w:hanging="142" w:left="175" w:right="0"/>
            </w:pPr>
            <w:r>
              <w:rPr>
                <w:color w:val="000000"/>
              </w:rPr>
              <w:t>5% πλέον ΦΠΑ για ομαδική αγωγή 20- 50 συναδέλφων</w:t>
            </w:r>
          </w:p>
          <w:p>
            <w:pPr>
              <w:pStyle w:val="style39"/>
              <w:numPr>
                <w:ilvl w:val="0"/>
                <w:numId w:val="1"/>
              </w:numPr>
              <w:spacing w:after="28" w:before="0"/>
              <w:ind w:hanging="142" w:left="175" w:right="0"/>
            </w:pPr>
            <w:r>
              <w:rPr>
                <w:color w:val="000000"/>
              </w:rPr>
              <w:t>4% πλέον ΦΠΑ για ομαδική αγωγή 51-80 συναδέλφων</w:t>
            </w:r>
          </w:p>
          <w:p>
            <w:pPr>
              <w:pStyle w:val="style39"/>
              <w:numPr>
                <w:ilvl w:val="0"/>
                <w:numId w:val="1"/>
              </w:numPr>
              <w:spacing w:after="28" w:before="0"/>
              <w:ind w:hanging="142" w:left="175" w:right="0"/>
            </w:pPr>
            <w:r>
              <w:rPr>
                <w:color w:val="000000"/>
              </w:rPr>
              <w:t>3% πλέον ΦΠΑ για ομαδική αγωγή άνω των 100 συναδέλφων</w:t>
            </w:r>
          </w:p>
          <w:p>
            <w:pPr>
              <w:pStyle w:val="style39"/>
              <w:spacing w:after="28" w:before="0"/>
              <w:ind w:hanging="142" w:left="175" w:right="0"/>
            </w:pPr>
            <w:r>
              <w:rPr/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Συμπεριλαμβάνεται στο ποσό των 50 €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b/>
                <w:bCs/>
                <w:color w:val="000000"/>
              </w:rPr>
              <w:t>Ε. Διονυσοπούλου &amp; Συνεργάτες</w:t>
            </w:r>
          </w:p>
          <w:p>
            <w:pPr>
              <w:pStyle w:val="style0"/>
              <w:spacing w:after="0" w:before="0"/>
            </w:pPr>
            <w:r>
              <w:rPr/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70 € 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3% επί του συνολικού ποσού που θα επιδικαστεί συμπεριλαμβανομένου ΦΠΑ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Επιμερίζονται αναλογικά τα έξοδα της έφεσης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Γ. Ευσταθόπουλος &amp; Συνεργάτες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90 € (δεν διευκρινίζεται αν συμπεριλαμβάνεται ΦΠΑ)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6% πλέον ΦΠΑ, εάν το σύνολο των μελών που θα συγκεντρωθούν) ανέρχεται έως 50 άτομα</w:t>
            </w:r>
          </w:p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5% πλέον ΦΠΑ εάν το σύνολο των μελών που θα συγκεντρωθούν  ανέρχεται έως 100 άτομα</w:t>
            </w:r>
          </w:p>
          <w:p>
            <w:pPr>
              <w:pStyle w:val="style39"/>
              <w:numPr>
                <w:ilvl w:val="0"/>
                <w:numId w:val="1"/>
              </w:numPr>
              <w:spacing w:after="200" w:before="0"/>
              <w:ind w:hanging="142" w:left="175" w:right="0"/>
            </w:pPr>
            <w:r>
              <w:rPr>
                <w:color w:val="000000"/>
              </w:rPr>
              <w:t>4% πλέον ΦΠΑ εάν το σύνολο των μελών που θα συγκεντρωθούν υπερβαίνει τα 100 άτομα.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 xml:space="preserve">Θα </w:t>
            </w:r>
            <w:r>
              <w:rPr>
                <w:rFonts w:cs="Times New Roman" w:eastAsia="Calibri"/>
                <w:color w:val="000000"/>
              </w:rPr>
              <w:t>χρεωθούν κεχωρισμένως μόνο τα δικαστικά έξοδα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Κατσαντώνη – Σπυρόπουλου &amp; Συνεργάτες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 xml:space="preserve">90 € </w:t>
            </w:r>
            <w:bookmarkStart w:id="1" w:name="__DdeLink__1073_1199226055"/>
            <w:bookmarkEnd w:id="1"/>
            <w:r>
              <w:rPr>
                <w:color w:val="000000"/>
              </w:rPr>
              <w:t>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5% πλέον ΦΠΑ επί του συνολικού ποσού που θα επιδικαστεί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  <w:shd w:fill="FFFFFF" w:val="clear"/>
              </w:rPr>
              <w:t>Αναλογικά, θα χρεωθούν μόνον τα έξοδα της έφεσης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</w:rPr>
              <w:t>Κουσουλή - Σούπου  Συνεργατών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/>
              <w:t xml:space="preserve">Ομαδική Αγωγή από 30 μέχρι 100 άτομα: 80€ </w:t>
            </w:r>
            <w:r>
              <w:rPr>
                <w:color w:val="000000"/>
              </w:rPr>
              <w:t>συμπεριλαμβανομένου ΦΠΑ</w:t>
            </w:r>
          </w:p>
          <w:p>
            <w:pPr>
              <w:pStyle w:val="style0"/>
              <w:spacing w:after="200" w:before="0"/>
            </w:pPr>
            <w:r>
              <w:rPr/>
              <w:t xml:space="preserve">Ομαδική Αγωγή άνω των 100 ατόμων: 50€ </w:t>
            </w:r>
            <w:r>
              <w:rPr>
                <w:color w:val="000000"/>
              </w:rPr>
              <w:t>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/>
              <w:t xml:space="preserve">5% πλέον ΦΠΑ επί του συνολικού καθαρού ποσού που θα επιδικαστεί 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/>
              <w:t>Δεν θα καταβληθεί καμία επιπλέον αμοιβή. θα καταβληθεί μόνο το παράβολο για την άσκηση της έφεσης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Σ. Κινδερλής &amp; Συνεργάτες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color w:val="000000"/>
              </w:rPr>
              <w:t>- Ατομική Αγωγή ή Ομαδική μέχρι 10 άτομα: 500 €</w:t>
            </w:r>
          </w:p>
          <w:p>
            <w:pPr>
              <w:pStyle w:val="style0"/>
            </w:pPr>
            <w:r>
              <w:rPr>
                <w:color w:val="000000"/>
              </w:rPr>
              <w:t xml:space="preserve">- Ομαδική αγωγή: με 10 άτομα κατ' ελάχιστον: 150 € </w:t>
            </w:r>
          </w:p>
          <w:p>
            <w:pPr>
              <w:pStyle w:val="style0"/>
              <w:spacing w:after="200" w:before="0"/>
            </w:pPr>
            <w:r>
              <w:rPr/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  <w:spacing w:after="200" w:before="0"/>
            </w:pPr>
            <w:r>
              <w:rPr>
                <w:color w:val="000000"/>
              </w:rPr>
              <w:t xml:space="preserve">- 15% επί του ποσού που θα εισπραχθεί, όταν αυτό εισπραχθεί για ομαδική αγωγή με 10 άτομα κατ' ελάχιστον 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color w:val="000000"/>
                <w:shd w:fill="FFFFFF" w:val="clear"/>
              </w:rPr>
              <w:t>εάν απαιτηθεί έφεση 700 € το άτομο (σε 2 δόσεις 400 € προ εφέσεως + 300 € την ημέρα της συζήτησης)</w:t>
            </w:r>
          </w:p>
          <w:p>
            <w:pPr>
              <w:pStyle w:val="style0"/>
            </w:pPr>
            <w:r>
              <w:rPr>
                <w:color w:val="000000"/>
                <w:shd w:fill="FFFFFF" w:val="clear"/>
              </w:rPr>
              <w:t>εάν ασκηθεί έφεση από τον αντίδικο καταβολή εφ'άπαξ ποσού 500 € το άτομο</w:t>
            </w:r>
          </w:p>
          <w:p>
            <w:pPr>
              <w:pStyle w:val="style0"/>
              <w:spacing w:after="200" w:before="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Ι. Λουκαδούνος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 xml:space="preserve">50 </w:t>
            </w:r>
            <w:r>
              <w:rPr>
                <w:b/>
                <w:bCs/>
                <w:color w:val="000000"/>
              </w:rPr>
              <w:t>€</w:t>
            </w:r>
            <w:r>
              <w:rPr>
                <w:color w:val="000000"/>
              </w:rPr>
              <w:t xml:space="preserve"> 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5% πλέον ΦΠΑ για ομαδική αγωγή έως 50 συναδέλφων</w:t>
            </w:r>
          </w:p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4% πλέον ΦΠΑ για ομαδική αγωγή 50-100 συναδέλφων</w:t>
            </w:r>
          </w:p>
          <w:p>
            <w:pPr>
              <w:pStyle w:val="style39"/>
              <w:numPr>
                <w:ilvl w:val="0"/>
                <w:numId w:val="1"/>
              </w:numPr>
              <w:spacing w:after="200" w:before="0"/>
              <w:ind w:hanging="142" w:left="175" w:right="0"/>
            </w:pPr>
            <w:r>
              <w:rPr>
                <w:color w:val="000000"/>
              </w:rPr>
              <w:t>3% πλέον ΦΠΑ για ομαδική αγωγή 100 και πλέον συναδέλφων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Ε. Μπίθα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ind w:hanging="0" w:left="0" w:right="0"/>
            </w:pPr>
            <w:r>
              <w:rPr>
                <w:color w:val="000000"/>
              </w:rPr>
              <w:t>- Ομαδική αγωγή 10-20 συναδέλφων: 60,50 € συμπεριλαμβανομένου ΦΠΑ</w:t>
            </w:r>
          </w:p>
          <w:p>
            <w:pPr>
              <w:pStyle w:val="style39"/>
              <w:ind w:hanging="0" w:left="0" w:right="0"/>
            </w:pPr>
            <w:r>
              <w:rPr>
                <w:color w:val="000000"/>
              </w:rPr>
              <w:t>- Ομαδική αγωγή 20-50 συναδέλφων: 60,50 € συμπεριλαμβανομένου ΦΠΑ</w:t>
            </w:r>
          </w:p>
          <w:p>
            <w:pPr>
              <w:pStyle w:val="style39"/>
              <w:spacing w:after="200" w:before="0"/>
              <w:ind w:hanging="0" w:left="0" w:right="0"/>
            </w:pPr>
            <w:r>
              <w:rPr>
                <w:color w:val="000000"/>
              </w:rPr>
              <w:t>- Ομαδική αγωγή 50 και πλέον συναδέλφων: 49,20 € 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4% πλέον ΦΠΑ για ομαδική αγωγή 10- 20 συναδέλφων</w:t>
            </w:r>
          </w:p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3% πλέον ΦΠΑ για ομαδική αγωγή 20-50 συναδέλφων</w:t>
            </w:r>
          </w:p>
          <w:p>
            <w:pPr>
              <w:pStyle w:val="style39"/>
              <w:numPr>
                <w:ilvl w:val="0"/>
                <w:numId w:val="1"/>
              </w:numPr>
              <w:ind w:hanging="142" w:left="175" w:right="0"/>
            </w:pPr>
            <w:r>
              <w:rPr>
                <w:color w:val="000000"/>
              </w:rPr>
              <w:t>2% πλέον ΦΠΑ για ομαδική αγωγή 50 και πλέον συναδέλφων</w:t>
            </w:r>
          </w:p>
          <w:p>
            <w:pPr>
              <w:pStyle w:val="style39"/>
              <w:spacing w:after="200" w:before="0"/>
              <w:ind w:hanging="0" w:left="0" w:right="0"/>
            </w:pPr>
            <w:r>
              <w:rPr/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color w:val="000000"/>
                <w:shd w:fill="FFFFFF" w:val="clear"/>
              </w:rPr>
              <w:t xml:space="preserve">Θα </w:t>
            </w:r>
            <w:r>
              <w:rPr>
                <w:rFonts w:cs="Times New Roman" w:eastAsia="Calibri"/>
                <w:color w:val="000000"/>
                <w:shd w:fill="FFFFFF" w:val="clear"/>
              </w:rPr>
              <w:t>χρεωθούν τα δικαστικά έξοδα και υποχρέωση κατάθεσης παραβόλου 100 ευρώ.</w:t>
            </w:r>
          </w:p>
          <w:p>
            <w:pPr>
              <w:pStyle w:val="style0"/>
              <w:spacing w:after="200" w:before="0"/>
            </w:pPr>
            <w:r>
              <w:rPr>
                <w:color w:val="000000"/>
                <w:shd w:fill="FFFFFF" w:val="clear"/>
              </w:rPr>
              <w:t>Σε περίπτωση τυχόν εξώδικης επίλυσης της διαφοράς μετά την άσκηση της αγωγής, κάθε ενάγων πρέπει να καταβάλει το εφάπαξ ποσό  των 20,00 €  στην 1η και 2η εκδοχή και 15.00 € στην 3η εκδοχή πλέον νόμιμου ΦΠΑ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  <w:shd w:fill="FFFFFF" w:val="clear"/>
              </w:rPr>
              <w:t>Α. Παπαστεργιόπουλος - Γ. Παπαδάτος - Μ. Λεφέ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tabs>
                <w:tab w:leader="none" w:pos="0" w:val="left"/>
                <w:tab w:leader="none" w:pos="720" w:val="left"/>
              </w:tabs>
              <w:spacing w:after="200" w:before="0"/>
              <w:ind w:hanging="0" w:left="0" w:right="0"/>
            </w:pPr>
            <w:r>
              <w:rPr>
                <w:color w:val="000000"/>
                <w:shd w:fill="FFFFFF" w:val="clear"/>
              </w:rPr>
              <w:t>50 € πλέον ΦΠΑ (ελάχιστο όριο 15 άτομα)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9"/>
              <w:tabs>
                <w:tab w:leader="none" w:pos="41" w:val="left"/>
                <w:tab w:leader="none" w:pos="761" w:val="left"/>
              </w:tabs>
              <w:ind w:hanging="9" w:left="41" w:right="-6"/>
            </w:pPr>
            <w:r>
              <w:rPr>
                <w:color w:val="000000"/>
                <w:shd w:fill="FFFFFF" w:val="clear"/>
              </w:rPr>
              <w:t>5% επί του συνολικού ποσού που θα επιδικαστεί</w:t>
            </w:r>
          </w:p>
          <w:p>
            <w:pPr>
              <w:pStyle w:val="style39"/>
              <w:tabs>
                <w:tab w:leader="none" w:pos="0" w:val="left"/>
                <w:tab w:leader="none" w:pos="720" w:val="left"/>
              </w:tabs>
              <w:spacing w:after="200" w:before="0"/>
              <w:ind w:hanging="0" w:left="0" w:right="-6"/>
            </w:pPr>
            <w:r>
              <w:rPr/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 xml:space="preserve">Σε περίπτωση ασκήσεως εφέσεως από το Δημόσιο δεν θα υπάρχει επιπρόσθετη επιβάρυνση. 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Α. Πάτσαλη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85 € 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7% πλέον ΦΠΑ επί του συνολικού ποσού που θα επιδικαστεί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 xml:space="preserve">Σε περίπτωση ασκήσεως εφέσεως από το Δημόσιο δεν θα υπάρχει επιπρόσθετη επιβάρυνση. 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Μ. Τσίπρα &amp; Συνεργάτες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40 € πλέον ΦΠΑ (από 49 άτομα και άνω)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color w:val="000000"/>
              </w:rPr>
              <w:t>8% επί του συνολικού ποσού που θα επιδικαστεί πλέον ΦΠΑ</w:t>
            </w:r>
          </w:p>
          <w:p>
            <w:pPr>
              <w:pStyle w:val="style0"/>
              <w:spacing w:after="200" w:before="0"/>
            </w:pPr>
            <w:r>
              <w:rPr/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σε περίπτωση αναιρέσεως τα έξοδα της κάθε αγωγής θα καθοριστούν σε συνεννόηση με τους ενάγοντες</w:t>
            </w:r>
          </w:p>
        </w:tc>
      </w:tr>
      <w:tr>
        <w:trPr>
          <w:cantSplit w:val="false"/>
        </w:trPr>
        <w:tc>
          <w:tcPr>
            <w:tcW w:type="dxa" w:w="3230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b/>
                <w:bCs/>
                <w:color w:val="000000"/>
              </w:rPr>
              <w:t>Κ. Φουντέα &amp; Συνεργάτες</w:t>
            </w:r>
          </w:p>
        </w:tc>
        <w:tc>
          <w:tcPr>
            <w:tcW w:type="dxa" w:w="353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50 € συμπεριλαμβανομένου ΦΠΑ</w:t>
            </w:r>
          </w:p>
        </w:tc>
        <w:tc>
          <w:tcPr>
            <w:tcW w:type="dxa" w:w="4676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3% συμπεριλαμβανομένου του ΦΠΑ επί του συνολικού ποσού που θα επιδικαστεί</w:t>
            </w:r>
          </w:p>
        </w:tc>
        <w:tc>
          <w:tcPr>
            <w:tcW w:type="dxa" w:w="2984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</w:pPr>
            <w:r>
              <w:rPr>
                <w:color w:val="000000"/>
              </w:rPr>
              <w:t>20 € συμπεριλαμβανομένου ΦΠΑ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widowControl/>
        <w:tabs>
          <w:tab w:leader="none" w:pos="720" w:val="left"/>
        </w:tabs>
        <w:suppressAutoHyphens w:val="true"/>
        <w:spacing w:after="200" w:before="0" w:line="276" w:lineRule="auto"/>
      </w:pPr>
      <w:r>
        <w:rPr>
          <w:color w:val="000000"/>
        </w:rPr>
        <w:t>Επισημαίνεται ότι ΔΕΝ περιλαμβάνεται στις προτάσεις η δαπάνη δικαστικού ενσήμου (ποσοστό 1,2% περίπου επί του αιτούμενου ποσού αποδοχών εφόσον αυτό υπερβαίνει το ποσό των 6.000 € και δη επί του υπερβάλλοντος των 6.000 € ποσού). Με τα σημερινά δεδομένα φαίνεται ότι δεν απαιτείται να καταβληθεί δικαστικό ένσημο.</w:t>
      </w:r>
    </w:p>
    <w:sectPr>
      <w:footerReference r:id="rId2" w:type="default"/>
      <w:type w:val="nextPage"/>
      <w:pgSz w:h="11906" w:orient="landscape" w:w="16838"/>
      <w:pgMar w:bottom="1815" w:footer="1276" w:gutter="0" w:header="0" w:left="1440" w:right="1440" w:top="1276"/>
      <w:pgNumType w:fmt="decimal"/>
      <w:formProt w:val="false"/>
      <w:textDirection w:val="lrTb"/>
      <w:docGrid w:charSpace="2048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alibri">
    <w:charset w:val="80"/>
    <w:family w:val="swiss"/>
    <w:pitch w:val="default"/>
  </w:font>
  <w:font w:name="Courier New">
    <w:charset w:val="80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42"/>
      <w:spacing w:after="200" w:before="0"/>
      <w:jc w:val="center"/>
    </w:pPr>
    <w:r>
      <w:rPr/>
      <w:t xml:space="preserve">- </w:t>
    </w: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/>
      <w:t xml:space="preserve"> -</w:t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-"/>
      <w:lvlJc w:val="left"/>
      <w:pPr>
        <w:ind w:hanging="360" w:left="720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Προεπιλογή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Calibri" w:eastAsia="SimSun" w:hAnsi="Calibri"/>
      <w:color w:val="00000A"/>
      <w:sz w:val="22"/>
      <w:szCs w:val="22"/>
      <w:lang w:bidi="ar-SA" w:eastAsia="en-US" w:val="el-GR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Courier New"/>
    </w:rPr>
  </w:style>
  <w:style w:styleId="style17" w:type="character">
    <w:name w:val="ListLabel 2"/>
    <w:next w:val="style17"/>
    <w:rPr>
      <w:rFonts w:cs="Calibri"/>
    </w:rPr>
  </w:style>
  <w:style w:styleId="style18" w:type="character">
    <w:name w:val="ListLabel 3"/>
    <w:next w:val="style18"/>
    <w:rPr>
      <w:rFonts w:cs="Calibri"/>
    </w:rPr>
  </w:style>
  <w:style w:styleId="style19" w:type="character">
    <w:name w:val="ListLabel 4"/>
    <w:next w:val="style19"/>
    <w:rPr>
      <w:rFonts w:cs="Courier New"/>
    </w:rPr>
  </w:style>
  <w:style w:styleId="style20" w:type="character">
    <w:name w:val="ListLabel 5"/>
    <w:next w:val="style20"/>
    <w:rPr>
      <w:rFonts w:cs="Wingdings"/>
    </w:rPr>
  </w:style>
  <w:style w:styleId="style21" w:type="character">
    <w:name w:val="ListLabel 6"/>
    <w:next w:val="style21"/>
    <w:rPr>
      <w:rFonts w:cs="Symbol"/>
    </w:rPr>
  </w:style>
  <w:style w:styleId="style22" w:type="character">
    <w:name w:val="ListLabel 7"/>
    <w:next w:val="style22"/>
    <w:rPr>
      <w:rFonts w:cs="Calibri"/>
    </w:rPr>
  </w:style>
  <w:style w:styleId="style23" w:type="character">
    <w:name w:val="ListLabel 8"/>
    <w:next w:val="style23"/>
    <w:rPr>
      <w:rFonts w:cs="Courier New"/>
    </w:rPr>
  </w:style>
  <w:style w:styleId="style24" w:type="character">
    <w:name w:val="ListLabel 9"/>
    <w:next w:val="style24"/>
    <w:rPr>
      <w:rFonts w:cs="Wingdings"/>
    </w:rPr>
  </w:style>
  <w:style w:styleId="style25" w:type="character">
    <w:name w:val="ListLabel 10"/>
    <w:next w:val="style25"/>
    <w:rPr>
      <w:rFonts w:cs="Symbol"/>
    </w:rPr>
  </w:style>
  <w:style w:styleId="style26" w:type="character">
    <w:name w:val="ListLabel 11"/>
    <w:next w:val="style26"/>
    <w:rPr>
      <w:rFonts w:cs="Calibri"/>
    </w:rPr>
  </w:style>
  <w:style w:styleId="style27" w:type="character">
    <w:name w:val="ListLabel 12"/>
    <w:next w:val="style27"/>
    <w:rPr>
      <w:rFonts w:cs="Courier New"/>
    </w:rPr>
  </w:style>
  <w:style w:styleId="style28" w:type="character">
    <w:name w:val="ListLabel 13"/>
    <w:next w:val="style28"/>
    <w:rPr>
      <w:rFonts w:cs="Wingdings"/>
    </w:rPr>
  </w:style>
  <w:style w:styleId="style29" w:type="character">
    <w:name w:val="ListLabel 14"/>
    <w:next w:val="style29"/>
    <w:rPr>
      <w:rFonts w:cs="Symbol"/>
    </w:rPr>
  </w:style>
  <w:style w:styleId="style30" w:type="character">
    <w:name w:val="ListLabel 15"/>
    <w:next w:val="style30"/>
    <w:rPr>
      <w:rFonts w:cs="Calibri"/>
    </w:rPr>
  </w:style>
  <w:style w:styleId="style31" w:type="character">
    <w:name w:val="ListLabel 16"/>
    <w:next w:val="style31"/>
    <w:rPr>
      <w:rFonts w:cs="Courier New"/>
    </w:rPr>
  </w:style>
  <w:style w:styleId="style32" w:type="character">
    <w:name w:val="ListLabel 17"/>
    <w:next w:val="style32"/>
    <w:rPr>
      <w:rFonts w:cs="Wingdings"/>
    </w:rPr>
  </w:style>
  <w:style w:styleId="style33" w:type="character">
    <w:name w:val="ListLabel 18"/>
    <w:next w:val="style33"/>
    <w:rPr>
      <w:rFonts w:cs="Symbol"/>
    </w:rPr>
  </w:style>
  <w:style w:styleId="style34" w:type="paragraph">
    <w:name w:val="Επικεφαλίδα"/>
    <w:basedOn w:val="style0"/>
    <w:next w:val="style35"/>
    <w:pPr>
      <w:keepNext/>
      <w:spacing w:after="120" w:before="240"/>
    </w:pPr>
    <w:rPr>
      <w:rFonts w:ascii="Arial" w:cs="Lohit Hindi" w:eastAsia="SimSun" w:hAnsi="Arial"/>
      <w:sz w:val="28"/>
      <w:szCs w:val="28"/>
    </w:rPr>
  </w:style>
  <w:style w:styleId="style35" w:type="paragraph">
    <w:name w:val="Σώμα κειμένου"/>
    <w:basedOn w:val="style0"/>
    <w:next w:val="style35"/>
    <w:pPr>
      <w:spacing w:after="120" w:before="0"/>
    </w:pPr>
    <w:rPr/>
  </w:style>
  <w:style w:styleId="style36" w:type="paragraph">
    <w:name w:val="Λίστα"/>
    <w:basedOn w:val="style35"/>
    <w:next w:val="style36"/>
    <w:pPr/>
    <w:rPr>
      <w:rFonts w:cs="Lohit Hindi"/>
    </w:rPr>
  </w:style>
  <w:style w:styleId="style37" w:type="paragraph">
    <w:name w:val="Λεζάντα"/>
    <w:basedOn w:val="style0"/>
    <w:next w:val="style37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38" w:type="paragraph">
    <w:name w:val="Ευρετήριο"/>
    <w:basedOn w:val="style0"/>
    <w:next w:val="style38"/>
    <w:pPr>
      <w:suppressLineNumbers/>
    </w:pPr>
    <w:rPr>
      <w:rFonts w:cs="Lohit Hindi"/>
    </w:rPr>
  </w:style>
  <w:style w:styleId="style39" w:type="paragraph">
    <w:name w:val="List Paragraph"/>
    <w:basedOn w:val="style0"/>
    <w:next w:val="style39"/>
    <w:pPr>
      <w:ind w:hanging="0" w:left="720" w:right="0"/>
    </w:pPr>
    <w:rPr/>
  </w:style>
  <w:style w:styleId="style40" w:type="paragraph">
    <w:name w:val="Περιεχόμενα πίνακα"/>
    <w:basedOn w:val="style0"/>
    <w:next w:val="style40"/>
    <w:pPr>
      <w:suppressLineNumbers/>
    </w:pPr>
    <w:rPr/>
  </w:style>
  <w:style w:styleId="style41" w:type="paragraph">
    <w:name w:val="Επικεφαλίδα πίνακα"/>
    <w:basedOn w:val="style40"/>
    <w:next w:val="style41"/>
    <w:pPr>
      <w:suppressLineNumbers/>
      <w:jc w:val="center"/>
    </w:pPr>
    <w:rPr>
      <w:b/>
      <w:bCs/>
    </w:rPr>
  </w:style>
  <w:style w:styleId="style42" w:type="paragraph">
    <w:name w:val="Υποσέλιδο"/>
    <w:basedOn w:val="style0"/>
    <w:next w:val="style42"/>
    <w:pPr>
      <w:suppressLineNumbers/>
      <w:tabs>
        <w:tab w:leader="none" w:pos="6979" w:val="center"/>
        <w:tab w:leader="none" w:pos="1395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2016-01-19T17:12:00.00Z</dcterms:created>
  <dc:creator>user</dc:creator>
  <cp:lastModifiedBy>user</cp:lastModifiedBy>
  <dcterms:modified xsi:type="dcterms:W3CDTF">2016-02-08T12:44:00.00Z</dcterms:modified>
  <cp:revision>17</cp:revision>
</cp:coreProperties>
</file>